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commentRangeStart w:id="0"/>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commentRangeEnd w:id="0"/>
      <w:r w:rsidRPr="0097012A">
        <w:rPr>
          <w:rStyle w:val="Refdecomentrio"/>
          <w:rFonts w:ascii="Arial" w:hAnsi="Arial" w:cs="Arial"/>
          <w:sz w:val="20"/>
          <w:szCs w:val="20"/>
        </w:rPr>
        <w:commentReference w:id="0"/>
      </w:r>
    </w:p>
    <w:p w14:paraId="5CA569E2" w14:textId="77777777" w:rsidR="00C94038" w:rsidRDefault="00C94038" w:rsidP="00C94038">
      <w:pPr>
        <w:spacing w:before="120" w:afterLines="120" w:after="288" w:line="276" w:lineRule="auto"/>
        <w:contextualSpacing/>
        <w:jc w:val="center"/>
        <w:rPr>
          <w:rFonts w:ascii="Times New Roman" w:eastAsia="Times New Roman" w:hAnsi="Times New Roman" w:cs="Times New Roman"/>
          <w:kern w:val="2"/>
          <w:sz w:val="20"/>
          <w:szCs w:val="20"/>
          <w:lang w:eastAsia="zh-CN"/>
        </w:rPr>
      </w:pPr>
      <w:r w:rsidRPr="0097012A">
        <w:rPr>
          <w:rFonts w:ascii="Arial" w:hAnsi="Arial" w:cs="Arial"/>
          <w:noProof/>
          <w:color w:val="000000"/>
          <w:sz w:val="20"/>
          <w:szCs w:val="20"/>
        </w:rPr>
        <w:drawing>
          <wp:anchor distT="0" distB="0" distL="114300" distR="114300" simplePos="0" relativeHeight="251659264" behindDoc="0" locked="0" layoutInCell="1" allowOverlap="1" wp14:anchorId="6027607D" wp14:editId="61AD96BE">
            <wp:simplePos x="0" y="0"/>
            <wp:positionH relativeFrom="margin">
              <wp:posOffset>2813685</wp:posOffset>
            </wp:positionH>
            <wp:positionV relativeFrom="paragraph">
              <wp:posOffset>69215</wp:posOffset>
            </wp:positionV>
            <wp:extent cx="737870" cy="805815"/>
            <wp:effectExtent l="0" t="0" r="508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bCs/>
          <w:iCs/>
          <w:color w:val="000000"/>
          <w:kern w:val="2"/>
          <w:sz w:val="20"/>
          <w:szCs w:val="20"/>
          <w:lang w:eastAsia="zh-CN"/>
        </w:rPr>
        <w:t>MINISTÉRIO DA DEFESA</w:t>
      </w:r>
    </w:p>
    <w:p w14:paraId="50DBE75B" w14:textId="77777777" w:rsidR="00C94038" w:rsidRDefault="00C94038" w:rsidP="00C94038">
      <w:pPr>
        <w:suppressAutoHyphens/>
        <w:autoSpaceDE w:val="0"/>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b/>
          <w:bCs/>
          <w:color w:val="000000"/>
          <w:kern w:val="2"/>
          <w:sz w:val="20"/>
          <w:szCs w:val="20"/>
          <w:lang w:eastAsia="zh-CN"/>
        </w:rPr>
        <w:t>EXÉRCITO BRASILEIRO</w:t>
      </w:r>
    </w:p>
    <w:p w14:paraId="1F476940" w14:textId="77777777" w:rsidR="00C94038" w:rsidRDefault="00C94038" w:rsidP="00C94038">
      <w:pPr>
        <w:suppressAutoHyphens/>
        <w:autoSpaceDE w:val="0"/>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b/>
          <w:bCs/>
          <w:iCs/>
          <w:color w:val="000000"/>
          <w:kern w:val="2"/>
          <w:sz w:val="20"/>
          <w:szCs w:val="20"/>
          <w:lang w:eastAsia="zh-CN"/>
        </w:rPr>
        <w:t>BASE DE AVIAÇÃO DE TAUBATÉ</w:t>
      </w:r>
    </w:p>
    <w:p w14:paraId="119D71E7" w14:textId="26852F26" w:rsidR="00C94038" w:rsidRPr="0097012A" w:rsidRDefault="00C94038" w:rsidP="00C94038">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524E20">
        <w:rPr>
          <w:rFonts w:ascii="Arial" w:hAnsi="Arial" w:cs="Arial"/>
          <w:bCs/>
          <w:color w:val="000000"/>
          <w:sz w:val="20"/>
          <w:szCs w:val="20"/>
        </w:rPr>
        <w:t xml:space="preserve"> </w:t>
      </w:r>
      <w:r>
        <w:rPr>
          <w:rFonts w:ascii="Arial" w:hAnsi="Arial" w:cs="Arial"/>
          <w:bCs/>
          <w:color w:val="000000"/>
          <w:sz w:val="20"/>
          <w:szCs w:val="20"/>
        </w:rPr>
        <w:t>64009.002357/202</w:t>
      </w:r>
      <w:r w:rsidR="00524E20">
        <w:rPr>
          <w:rFonts w:ascii="Arial" w:hAnsi="Arial" w:cs="Arial"/>
          <w:bCs/>
          <w:color w:val="000000"/>
          <w:sz w:val="20"/>
          <w:szCs w:val="20"/>
        </w:rPr>
        <w:t>4</w:t>
      </w:r>
      <w:r>
        <w:rPr>
          <w:rFonts w:ascii="Arial" w:hAnsi="Arial" w:cs="Arial"/>
          <w:bCs/>
          <w:color w:val="000000"/>
          <w:sz w:val="20"/>
          <w:szCs w:val="20"/>
        </w:rPr>
        <w:t>-</w:t>
      </w:r>
      <w:r w:rsidR="00524E20">
        <w:rPr>
          <w:rFonts w:ascii="Arial" w:hAnsi="Arial" w:cs="Arial"/>
          <w:bCs/>
          <w:color w:val="000000"/>
          <w:sz w:val="20"/>
          <w:szCs w:val="20"/>
        </w:rPr>
        <w:t>1</w:t>
      </w:r>
      <w:r>
        <w:rPr>
          <w:rFonts w:ascii="Arial" w:hAnsi="Arial" w:cs="Arial"/>
          <w:bCs/>
          <w:color w:val="000000"/>
          <w:sz w:val="20"/>
          <w:szCs w:val="20"/>
        </w:rPr>
        <w:t>9</w:t>
      </w:r>
      <w:r w:rsidRPr="0097012A">
        <w:rPr>
          <w:rFonts w:ascii="Arial" w:hAnsi="Arial" w:cs="Arial"/>
          <w:bCs/>
          <w:color w:val="000000"/>
          <w:sz w:val="20"/>
          <w:szCs w:val="20"/>
        </w:rPr>
        <w:t>)</w:t>
      </w:r>
    </w:p>
    <w:p w14:paraId="34BB0D75" w14:textId="5C471328"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3CA02E49" w:rsidR="00B96063" w:rsidRPr="00D024E8" w:rsidRDefault="00D024E8" w:rsidP="00D024E8">
      <w:pPr>
        <w:spacing w:before="120" w:afterLines="120" w:after="288" w:line="312" w:lineRule="auto"/>
        <w:ind w:firstLine="567"/>
        <w:jc w:val="both"/>
        <w:rPr>
          <w:rFonts w:ascii="Arial" w:eastAsia="Arial" w:hAnsi="Arial" w:cs="Arial"/>
          <w:sz w:val="20"/>
          <w:szCs w:val="20"/>
        </w:rPr>
      </w:pPr>
      <w:commentRangeStart w:id="1"/>
      <w:r w:rsidRPr="00D024E8">
        <w:rPr>
          <w:rFonts w:ascii="Arial" w:eastAsia="Arial" w:hAnsi="Arial" w:cs="Arial"/>
          <w:sz w:val="20"/>
          <w:szCs w:val="20"/>
        </w:rPr>
        <w:t xml:space="preserve">A União por intermédio da </w:t>
      </w:r>
      <w:bookmarkStart w:id="2" w:name="_Hlk131688257"/>
      <w:r w:rsidRPr="00D024E8">
        <w:rPr>
          <w:rFonts w:ascii="Arial" w:eastAsia="Arial" w:hAnsi="Arial" w:cs="Arial"/>
          <w:sz w:val="20"/>
          <w:szCs w:val="20"/>
        </w:rPr>
        <w:t>Base de Aviação de Taubaté, por meio da Seção de Licitações, sediada à Estrada Municipal dos Remédios, nº 2135, Bairro Itaim, Taubaté-SP</w:t>
      </w:r>
      <w:bookmarkEnd w:id="2"/>
      <w:r w:rsidRPr="00D024E8">
        <w:rPr>
          <w:rFonts w:ascii="Arial" w:eastAsia="Arial" w:hAnsi="Arial" w:cs="Arial"/>
          <w:sz w:val="20"/>
          <w:szCs w:val="20"/>
        </w:rPr>
        <w:t xml:space="preserve">, inscrito no CNPJ sob o nº 09545196/0001-74, neste ato representado pelo </w:t>
      </w:r>
      <w:r w:rsidR="00EC1F98">
        <w:rPr>
          <w:rFonts w:ascii="Arial" w:eastAsia="Arial" w:hAnsi="Arial" w:cs="Arial"/>
          <w:sz w:val="20"/>
          <w:szCs w:val="20"/>
        </w:rPr>
        <w:t>CEL</w:t>
      </w:r>
      <w:r w:rsidRPr="00D024E8">
        <w:rPr>
          <w:rFonts w:ascii="Arial" w:eastAsia="Arial" w:hAnsi="Arial" w:cs="Arial"/>
          <w:sz w:val="20"/>
          <w:szCs w:val="20"/>
        </w:rPr>
        <w:t xml:space="preserve"> WAGNER GONÇALVES DE SOUZA, nomeado pelo Boletim nº 11, de 16 de janeiro de 2023, da Base de Aviação de Taubaté, portador da Matrícula Funcional nº 53.863.212-4, doravante denominado CONTRATANTE, e o(a) .............................., </w:t>
      </w:r>
      <w:r w:rsidRPr="00D024E8">
        <w:rPr>
          <w:rFonts w:ascii="Arial" w:eastAsia="Arial" w:hAnsi="Arial" w:cs="Arial"/>
          <w:i/>
          <w:iCs/>
          <w:sz w:val="20"/>
          <w:szCs w:val="20"/>
        </w:rPr>
        <w:t>inscrito(a) no CNPJ/MF sob o nº ............................, sediado(a) na</w:t>
      </w:r>
      <w:r w:rsidRPr="00D024E8">
        <w:rPr>
          <w:rFonts w:ascii="Arial" w:eastAsia="Arial" w:hAnsi="Arial" w:cs="Arial"/>
          <w:sz w:val="20"/>
          <w:szCs w:val="20"/>
        </w:rPr>
        <w:t xml:space="preserve"> ..................................., </w:t>
      </w:r>
      <w:r w:rsidRPr="00D024E8">
        <w:rPr>
          <w:rFonts w:ascii="Arial" w:eastAsia="Arial" w:hAnsi="Arial" w:cs="Arial"/>
          <w:i/>
          <w:iCs/>
          <w:sz w:val="20"/>
          <w:szCs w:val="20"/>
        </w:rPr>
        <w:t>em</w:t>
      </w:r>
      <w:r w:rsidRPr="00D024E8">
        <w:rPr>
          <w:rFonts w:ascii="Arial" w:eastAsia="Arial" w:hAnsi="Arial" w:cs="Arial"/>
          <w:sz w:val="20"/>
          <w:szCs w:val="20"/>
        </w:rPr>
        <w:t xml:space="preserve"> ............................. doravante designado CONTRATADO, </w:t>
      </w:r>
      <w:r w:rsidRPr="00D024E8">
        <w:rPr>
          <w:rFonts w:ascii="Arial" w:eastAsia="Arial" w:hAnsi="Arial" w:cs="Arial"/>
          <w:i/>
          <w:iCs/>
          <w:sz w:val="20"/>
          <w:szCs w:val="20"/>
        </w:rPr>
        <w:t>neste ato representado(a) por</w:t>
      </w:r>
      <w:r w:rsidRPr="00D024E8">
        <w:rPr>
          <w:rFonts w:ascii="Arial" w:eastAsia="Arial" w:hAnsi="Arial" w:cs="Arial"/>
          <w:sz w:val="20"/>
          <w:szCs w:val="20"/>
        </w:rPr>
        <w:t xml:space="preserve"> .................................. (nome e função no contratado), </w:t>
      </w:r>
      <w:r w:rsidRPr="00D024E8">
        <w:rPr>
          <w:rFonts w:ascii="Arial" w:eastAsia="Arial" w:hAnsi="Arial" w:cs="Arial"/>
          <w:i/>
          <w:iCs/>
          <w:sz w:val="20"/>
          <w:szCs w:val="20"/>
        </w:rPr>
        <w:t xml:space="preserve">conforme atos constitutivos da empresa </w:t>
      </w:r>
      <w:r w:rsidRPr="00D024E8">
        <w:rPr>
          <w:rFonts w:ascii="Arial" w:eastAsia="Arial" w:hAnsi="Arial" w:cs="Arial"/>
          <w:b/>
          <w:bCs/>
          <w:i/>
          <w:iCs/>
          <w:sz w:val="20"/>
          <w:szCs w:val="20"/>
        </w:rPr>
        <w:t>OU</w:t>
      </w:r>
      <w:r w:rsidRPr="00D024E8">
        <w:rPr>
          <w:rFonts w:ascii="Arial" w:eastAsia="Arial" w:hAnsi="Arial" w:cs="Arial"/>
          <w:i/>
          <w:iCs/>
          <w:sz w:val="20"/>
          <w:szCs w:val="20"/>
        </w:rPr>
        <w:t xml:space="preserve"> procuração apresentada nos autos, </w:t>
      </w:r>
      <w:r w:rsidRPr="00D024E8">
        <w:rPr>
          <w:rFonts w:ascii="Arial" w:eastAsia="Arial" w:hAnsi="Arial" w:cs="Arial"/>
          <w:sz w:val="20"/>
          <w:szCs w:val="20"/>
        </w:rPr>
        <w:t xml:space="preserve">tendo em vista o que consta no Processo nº .............................. e em observância às disposições da Lei nº 14.133, de 1º de abril de 2021, e demais legislação aplicável, resolvem celebrar o presente Termo de Contrato, decorrente </w:t>
      </w:r>
      <w:r w:rsidRPr="00D024E8">
        <w:rPr>
          <w:rFonts w:ascii="Arial" w:eastAsia="Arial" w:hAnsi="Arial" w:cs="Arial"/>
          <w:i/>
          <w:iCs/>
          <w:sz w:val="20"/>
          <w:szCs w:val="20"/>
        </w:rPr>
        <w:t>do Pregão Eletrônico n</w:t>
      </w:r>
      <w:r>
        <w:rPr>
          <w:rFonts w:ascii="Arial" w:eastAsia="Arial" w:hAnsi="Arial" w:cs="Arial"/>
          <w:i/>
          <w:iCs/>
          <w:sz w:val="20"/>
          <w:szCs w:val="20"/>
        </w:rPr>
        <w:t xml:space="preserve"> 90021</w:t>
      </w:r>
      <w:r w:rsidRPr="00D024E8">
        <w:rPr>
          <w:rFonts w:ascii="Arial" w:eastAsia="Arial" w:hAnsi="Arial" w:cs="Arial"/>
          <w:i/>
          <w:iCs/>
          <w:sz w:val="20"/>
          <w:szCs w:val="20"/>
        </w:rPr>
        <w:t>/</w:t>
      </w:r>
      <w:r>
        <w:rPr>
          <w:rFonts w:ascii="Arial" w:eastAsia="Arial" w:hAnsi="Arial" w:cs="Arial"/>
          <w:i/>
          <w:iCs/>
          <w:sz w:val="20"/>
          <w:szCs w:val="20"/>
        </w:rPr>
        <w:t>2024</w:t>
      </w:r>
      <w:r w:rsidRPr="00D024E8">
        <w:rPr>
          <w:rFonts w:ascii="Arial" w:eastAsia="Arial" w:hAnsi="Arial" w:cs="Arial"/>
          <w:sz w:val="20"/>
          <w:szCs w:val="20"/>
        </w:rPr>
        <w:t>, mediante as cláusulas e condições a seguir enunciadas.</w:t>
      </w:r>
      <w:commentRangeEnd w:id="1"/>
      <w:r w:rsidRPr="00D024E8">
        <w:rPr>
          <w:rStyle w:val="Refdecomentrio"/>
          <w:rFonts w:ascii="Arial" w:hAnsi="Arial" w:cs="Arial"/>
        </w:rPr>
        <w:commentReference w:id="1"/>
      </w:r>
      <w:commentRangeStart w:id="3"/>
      <w:r w:rsidR="00B96063" w:rsidRPr="00D024E8">
        <w:rPr>
          <w:rFonts w:ascii="Arial" w:eastAsia="Arial" w:hAnsi="Arial" w:cs="Arial"/>
          <w:sz w:val="20"/>
          <w:szCs w:val="20"/>
        </w:rPr>
        <w:t>.</w:t>
      </w:r>
      <w:commentRangeEnd w:id="3"/>
      <w:r w:rsidR="00E46C38" w:rsidRPr="00D024E8">
        <w:rPr>
          <w:rStyle w:val="Refdecomentrio"/>
          <w:rFonts w:ascii="Arial" w:hAnsi="Arial" w:cs="Arial"/>
          <w:sz w:val="20"/>
          <w:szCs w:val="20"/>
        </w:rPr>
        <w:commentReference w:id="3"/>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5" w:anchor="art92" w:history="1">
        <w:r w:rsidRPr="0097012A">
          <w:rPr>
            <w:rStyle w:val="Hyperlink"/>
          </w:rPr>
          <w:t>art. 92, I e II</w:t>
        </w:r>
      </w:hyperlink>
      <w:r w:rsidRPr="0097012A">
        <w:t>)</w:t>
      </w:r>
    </w:p>
    <w:p w14:paraId="739B60A1" w14:textId="3EF67C4A" w:rsidR="00B96063" w:rsidRPr="0097012A" w:rsidRDefault="00B96063" w:rsidP="000C5BDF">
      <w:pPr>
        <w:pStyle w:val="Nivel2"/>
        <w:numPr>
          <w:ilvl w:val="1"/>
          <w:numId w:val="16"/>
        </w:numPr>
        <w:ind w:left="426"/>
      </w:pPr>
      <w:r>
        <w:t xml:space="preserve">O objeto do presente instrumento é a contratação de </w:t>
      </w:r>
      <w:r w:rsidR="000C5BDF" w:rsidRPr="000C5BDF">
        <w:rPr>
          <w:rFonts w:hint="eastAsia"/>
          <w:color w:val="auto"/>
        </w:rPr>
        <w:t>Eventual Contratação de serviços de transporte rodoviário para atender às necessidades do Comando de Aviação do Exército</w:t>
      </w:r>
      <w:r w:rsidR="000C5BDF" w:rsidRPr="000C5BDF">
        <w:rPr>
          <w:color w:val="auto"/>
        </w:rPr>
        <w:t xml:space="preserve"> </w:t>
      </w:r>
      <w:r w:rsidR="000C5BDF" w:rsidRPr="000C5BDF">
        <w:rPr>
          <w:rFonts w:hint="eastAsia"/>
          <w:color w:val="auto"/>
        </w:rPr>
        <w:t>na Guarnição de Taubaté/SP</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lastRenderedPageBreak/>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0367CD4D" w14:textId="3C408C11" w:rsidR="00B96063" w:rsidRPr="00DC0F55" w:rsidRDefault="00B96063" w:rsidP="00826A56">
      <w:pPr>
        <w:pStyle w:val="Nvel2-Red"/>
        <w:rPr>
          <w:color w:val="auto"/>
        </w:rPr>
      </w:pPr>
      <w:commentRangeStart w:id="4"/>
      <w:r w:rsidRPr="00DC0F55">
        <w:rPr>
          <w:color w:val="auto"/>
        </w:rPr>
        <w:t xml:space="preserve">O prazo de vigência da contratação é de </w:t>
      </w:r>
      <w:r w:rsidR="00691F21" w:rsidRPr="00DC0F55">
        <w:rPr>
          <w:color w:val="auto"/>
        </w:rPr>
        <w:t>12 (doze) meses</w:t>
      </w:r>
      <w:r w:rsidRPr="00DC0F55">
        <w:rPr>
          <w:color w:val="auto"/>
        </w:rPr>
        <w:t xml:space="preserve"> contados da</w:t>
      </w:r>
      <w:r w:rsidR="00691F21" w:rsidRPr="00DC0F55">
        <w:rPr>
          <w:color w:val="auto"/>
        </w:rPr>
        <w:t xml:space="preserve"> assinatura do termo de contrato</w:t>
      </w:r>
      <w:r w:rsidRPr="00DC0F55">
        <w:rPr>
          <w:color w:val="auto"/>
        </w:rPr>
        <w:t xml:space="preserve">, prorrogável por até 10 anos, na forma dos </w:t>
      </w:r>
      <w:hyperlink r:id="rId16" w:anchor="art106" w:history="1">
        <w:r w:rsidRPr="00DC0F55">
          <w:rPr>
            <w:rStyle w:val="Hyperlink"/>
            <w:color w:val="auto"/>
          </w:rPr>
          <w:t>artigos 106 e 107 da Lei n° 14.133, de 2021.</w:t>
        </w:r>
      </w:hyperlink>
    </w:p>
    <w:p w14:paraId="49E9BD10" w14:textId="1F548038" w:rsidR="002E370A" w:rsidRPr="00DC0F55" w:rsidRDefault="00B96063" w:rsidP="00826A56">
      <w:pPr>
        <w:pStyle w:val="Nvel2-Red"/>
        <w:rPr>
          <w:color w:val="auto"/>
        </w:rPr>
      </w:pPr>
      <w:r w:rsidRPr="00DC0F55">
        <w:rPr>
          <w:color w:val="auto"/>
        </w:rPr>
        <w:t>A prorrogação de que trata este item é condicionada ao ateste, pela autoridade competente, de que as condições e os preços permanecem vantajosos para a Administração, permitida a negociação com o contratado</w:t>
      </w:r>
      <w:commentRangeEnd w:id="4"/>
      <w:r w:rsidRPr="00DC0F55">
        <w:rPr>
          <w:rStyle w:val="Refdecomentrio"/>
          <w:color w:val="auto"/>
        </w:rPr>
        <w:commentReference w:id="4"/>
      </w:r>
      <w:r w:rsidR="002E370A" w:rsidRPr="00DC0F55">
        <w:rPr>
          <w:color w:val="auto"/>
        </w:rPr>
        <w:t xml:space="preserve">, atentando, ainda, para o cumprimento dos seguintes requisitos: </w:t>
      </w:r>
    </w:p>
    <w:p w14:paraId="2706E774" w14:textId="77777777" w:rsidR="002E370A" w:rsidRPr="00DC0F55" w:rsidRDefault="002E370A" w:rsidP="00826A56">
      <w:pPr>
        <w:pStyle w:val="Nivel2"/>
        <w:numPr>
          <w:ilvl w:val="1"/>
          <w:numId w:val="15"/>
        </w:numPr>
        <w:ind w:left="284" w:firstLine="0"/>
        <w:rPr>
          <w:i/>
          <w:color w:val="auto"/>
        </w:rPr>
      </w:pPr>
      <w:r w:rsidRPr="00DC0F55">
        <w:rPr>
          <w:i/>
          <w:color w:val="auto"/>
        </w:rPr>
        <w:t>Estar formalmente demonstrado no processo que a forma de prestação dos serviços tem natureza continuada;</w:t>
      </w:r>
    </w:p>
    <w:p w14:paraId="4EEA2269" w14:textId="77777777" w:rsidR="002E370A" w:rsidRPr="00DC0F55" w:rsidRDefault="002E370A" w:rsidP="00826A56">
      <w:pPr>
        <w:pStyle w:val="Nivel2"/>
        <w:numPr>
          <w:ilvl w:val="1"/>
          <w:numId w:val="15"/>
        </w:numPr>
        <w:ind w:left="284" w:firstLine="0"/>
        <w:rPr>
          <w:i/>
          <w:iCs/>
          <w:color w:val="auto"/>
        </w:rPr>
      </w:pPr>
      <w:r w:rsidRPr="00DC0F55">
        <w:rPr>
          <w:i/>
          <w:iCs/>
          <w:color w:val="auto"/>
        </w:rPr>
        <w:t xml:space="preserve">Seja juntado relatório que discorra sobre a execução do contrato, com informações de que os serviços tenham sido prestados regularmente;  </w:t>
      </w:r>
    </w:p>
    <w:p w14:paraId="0736E4C0" w14:textId="77777777" w:rsidR="002E370A" w:rsidRPr="00DC0F55" w:rsidRDefault="002E370A" w:rsidP="00826A56">
      <w:pPr>
        <w:pStyle w:val="Nivel2"/>
        <w:numPr>
          <w:ilvl w:val="1"/>
          <w:numId w:val="15"/>
        </w:numPr>
        <w:ind w:left="284" w:firstLine="0"/>
        <w:rPr>
          <w:i/>
          <w:iCs/>
          <w:color w:val="auto"/>
        </w:rPr>
      </w:pPr>
      <w:r w:rsidRPr="00DC0F55">
        <w:rPr>
          <w:i/>
          <w:iCs/>
          <w:color w:val="auto"/>
        </w:rPr>
        <w:t xml:space="preserve">Seja juntada justificativa e motivo, por escrito, de que a Administração mantém interesse na realização do serviço;  </w:t>
      </w:r>
    </w:p>
    <w:p w14:paraId="5FF23B9E" w14:textId="77777777" w:rsidR="002E370A" w:rsidRPr="00DC0F55" w:rsidRDefault="002E370A" w:rsidP="00826A56">
      <w:pPr>
        <w:pStyle w:val="Nivel2"/>
        <w:numPr>
          <w:ilvl w:val="1"/>
          <w:numId w:val="15"/>
        </w:numPr>
        <w:ind w:left="284" w:firstLine="0"/>
        <w:rPr>
          <w:i/>
          <w:iCs/>
          <w:color w:val="auto"/>
        </w:rPr>
      </w:pPr>
      <w:r w:rsidRPr="00DC0F55">
        <w:rPr>
          <w:i/>
          <w:iCs/>
          <w:color w:val="auto"/>
        </w:rPr>
        <w:t xml:space="preserve">Haja manifestação expressa do contratado informando o interesse na prorrogação; </w:t>
      </w:r>
    </w:p>
    <w:p w14:paraId="6AE5FA22" w14:textId="77777777" w:rsidR="002E370A" w:rsidRPr="00DC0F55" w:rsidRDefault="002E370A" w:rsidP="00826A56">
      <w:pPr>
        <w:pStyle w:val="Nivel2"/>
        <w:numPr>
          <w:ilvl w:val="1"/>
          <w:numId w:val="15"/>
        </w:numPr>
        <w:ind w:left="284" w:firstLine="0"/>
        <w:rPr>
          <w:i/>
          <w:iCs/>
          <w:color w:val="auto"/>
        </w:rPr>
      </w:pPr>
      <w:r w:rsidRPr="00DC0F55">
        <w:rPr>
          <w:i/>
          <w:iCs/>
          <w:color w:val="auto"/>
        </w:rPr>
        <w:t>Seja comprovado que o contratado mantém as condições iniciais de habilitação.</w:t>
      </w:r>
    </w:p>
    <w:p w14:paraId="13B9CD1C" w14:textId="77777777" w:rsidR="002E370A" w:rsidRPr="00DC0F55" w:rsidRDefault="002E370A" w:rsidP="00826A56">
      <w:pPr>
        <w:pStyle w:val="Nvel2-Red"/>
        <w:rPr>
          <w:color w:val="auto"/>
        </w:rPr>
      </w:pPr>
      <w:r w:rsidRPr="00DC0F55">
        <w:rPr>
          <w:color w:val="auto"/>
        </w:rPr>
        <w:t>O contratado não tem direito subjetivo à prorrogação contratual.</w:t>
      </w:r>
    </w:p>
    <w:p w14:paraId="59FE6E3B" w14:textId="398F8AEA" w:rsidR="002E370A" w:rsidRPr="00DC0F55" w:rsidRDefault="002E370A" w:rsidP="00826A56">
      <w:pPr>
        <w:pStyle w:val="Nvel2-Red"/>
        <w:rPr>
          <w:color w:val="auto"/>
        </w:rPr>
      </w:pPr>
      <w:r w:rsidRPr="00DC0F55">
        <w:rPr>
          <w:color w:val="auto"/>
        </w:rPr>
        <w:t xml:space="preserve">A prorrogação de contrato deverá ser promovida mediante celebração de termo aditivo. </w:t>
      </w:r>
    </w:p>
    <w:p w14:paraId="4FB9E193" w14:textId="77777777" w:rsidR="00FB4DFA" w:rsidRPr="00DC0F55" w:rsidRDefault="00FB4DFA" w:rsidP="00826A56">
      <w:pPr>
        <w:pStyle w:val="Nvel2-Red"/>
        <w:rPr>
          <w:color w:val="auto"/>
        </w:rPr>
      </w:pPr>
      <w:r w:rsidRPr="00DC0F55">
        <w:rPr>
          <w:color w:val="auto"/>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DC0F55" w:rsidRDefault="00FB4DFA" w:rsidP="00826A56">
      <w:pPr>
        <w:pStyle w:val="Nvel2-Red"/>
        <w:rPr>
          <w:color w:val="auto"/>
        </w:rPr>
      </w:pPr>
      <w:r w:rsidRPr="00DC0F55">
        <w:rPr>
          <w:color w:val="auto"/>
        </w:rPr>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5" w:name="_Hlk114497577"/>
      <w:bookmarkStart w:id="6" w:name="_Hlk114497502"/>
      <w:bookmarkEnd w:id="5"/>
      <w:bookmarkEnd w:id="6"/>
      <w:r w:rsidRPr="0097012A">
        <w:t>CLÁUSULA TERCEIRA – MODELOS DE EXECUÇÃO E GESTÃO CONTRATUAIS (</w:t>
      </w:r>
      <w:hyperlink r:id="rId17"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7012A" w:rsidRDefault="00B96063" w:rsidP="00826A56">
      <w:pPr>
        <w:pStyle w:val="Nvel2-Red"/>
      </w:pPr>
      <w:r w:rsidRPr="0097012A">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8" w:anchor="art92" w:history="1">
        <w:r w:rsidR="004512B0" w:rsidRPr="0097012A">
          <w:rPr>
            <w:rStyle w:val="Hyperlink"/>
          </w:rPr>
          <w:t>art. 92, V</w:t>
        </w:r>
      </w:hyperlink>
      <w:r w:rsidR="004512B0" w:rsidRPr="0097012A">
        <w:t>)</w:t>
      </w:r>
      <w:commentRangeStart w:id="7"/>
      <w:commentRangeEnd w:id="7"/>
      <w:r w:rsidR="004512B0" w:rsidRPr="0097012A">
        <w:rPr>
          <w:rStyle w:val="Refdecomentrio"/>
          <w:rFonts w:eastAsiaTheme="minorEastAsia"/>
          <w:b w:val="0"/>
          <w:bCs w:val="0"/>
          <w:sz w:val="20"/>
          <w:szCs w:val="20"/>
        </w:rPr>
        <w:commentReference w:id="7"/>
      </w:r>
    </w:p>
    <w:p w14:paraId="6E0D89B1" w14:textId="77777777" w:rsidR="00B96063" w:rsidRPr="0097012A" w:rsidRDefault="00B96063" w:rsidP="00826A56">
      <w:pPr>
        <w:pStyle w:val="Nvel2-Red"/>
      </w:pPr>
      <w:r w:rsidRPr="0097012A">
        <w:rPr>
          <w:lang w:eastAsia="en-US"/>
        </w:rPr>
        <w:t xml:space="preserve">O valor mensal da </w:t>
      </w:r>
      <w:r w:rsidRPr="0097012A">
        <w:t>contratação</w:t>
      </w:r>
      <w:r w:rsidRPr="0097012A">
        <w:rPr>
          <w:lang w:eastAsia="en-US"/>
        </w:rPr>
        <w:t xml:space="preserve"> é de R$ .......... (.....), perfazendo o valor total de R$ .......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w:t>
      </w:r>
      <w:r w:rsidRPr="0097012A">
        <w:lastRenderedPageBreak/>
        <w:t xml:space="preserve">comerciais </w:t>
      </w:r>
      <w:r w:rsidRPr="004920B4">
        <w:t>incidentes</w:t>
      </w:r>
      <w:r w:rsidRPr="0097012A">
        <w:t>, taxa de administração, frete, seguro e outros necessários ao cumprimento integral do objeto da contratação.</w:t>
      </w:r>
    </w:p>
    <w:p w14:paraId="46508DCA" w14:textId="77777777" w:rsidR="00B96063" w:rsidRPr="00E04FEE" w:rsidRDefault="00B96063" w:rsidP="00826A56">
      <w:pPr>
        <w:pStyle w:val="Nvel2-Red"/>
        <w:rPr>
          <w:color w:val="auto"/>
        </w:rPr>
      </w:pPr>
      <w:commentRangeStart w:id="8"/>
      <w:r w:rsidRPr="00E04FEE">
        <w:rPr>
          <w:color w:val="auto"/>
        </w:rPr>
        <w:t>O valor acima é meramente estimativo, de forma que os pagamentos devidos ao contratado dependerão dos quantitativos efetivamente fornecidos.</w:t>
      </w:r>
      <w:commentRangeEnd w:id="8"/>
      <w:r w:rsidR="00721F24" w:rsidRPr="00E04FEE">
        <w:rPr>
          <w:rStyle w:val="Refdecomentrio"/>
          <w:color w:val="auto"/>
          <w:sz w:val="20"/>
          <w:szCs w:val="20"/>
        </w:rPr>
        <w:commentReference w:id="8"/>
      </w:r>
    </w:p>
    <w:p w14:paraId="3F97A10E" w14:textId="0CBE0775" w:rsidR="00B96063" w:rsidRPr="0097012A" w:rsidRDefault="00B96063" w:rsidP="00826A56">
      <w:pPr>
        <w:pStyle w:val="Nivel01"/>
        <w:rPr>
          <w:color w:val="FFFFFF" w:themeColor="background1"/>
        </w:rPr>
      </w:pPr>
      <w:r w:rsidRPr="0097012A">
        <w:t>CLÁUSULA SEXTA - PAGAMENTO (</w:t>
      </w:r>
      <w:hyperlink r:id="rId19"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commentRangeStart w:id="9"/>
      <w:r w:rsidRPr="0097012A">
        <w:t>CLÁUSULA SÉTIMA - REAJUSTE (</w:t>
      </w:r>
      <w:hyperlink r:id="rId20" w:anchor="art92" w:history="1">
        <w:r w:rsidRPr="0097012A">
          <w:rPr>
            <w:rStyle w:val="Hyperlink"/>
          </w:rPr>
          <w:t>art. 92, V</w:t>
        </w:r>
      </w:hyperlink>
      <w:r w:rsidRPr="0097012A">
        <w:t>)</w:t>
      </w:r>
      <w:commentRangeEnd w:id="9"/>
      <w:r w:rsidR="00220CD0" w:rsidRPr="0097012A">
        <w:rPr>
          <w:rStyle w:val="Refdecomentrio"/>
          <w:rFonts w:eastAsiaTheme="minorEastAsia"/>
          <w:b w:val="0"/>
          <w:bCs w:val="0"/>
          <w:sz w:val="20"/>
          <w:szCs w:val="20"/>
        </w:rPr>
        <w:commentReference w:id="9"/>
      </w:r>
    </w:p>
    <w:p w14:paraId="4CCF6016" w14:textId="1EB35A39"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000300FA">
        <w:t>19/02/2024</w:t>
      </w:r>
      <w:r w:rsidRPr="0097012A">
        <w:t>.</w:t>
      </w:r>
    </w:p>
    <w:p w14:paraId="4AA610EC" w14:textId="5FA122E4" w:rsidR="00B96063" w:rsidRPr="0097012A" w:rsidRDefault="00B96063" w:rsidP="00826A56">
      <w:pPr>
        <w:pStyle w:val="Nivel2"/>
      </w:pPr>
      <w:commentRangeStart w:id="10"/>
      <w:r w:rsidRPr="0097012A">
        <w:t xml:space="preserve">Após o interregno de um ano, e </w:t>
      </w:r>
      <w:bookmarkStart w:id="11" w:name="_Hlk132722410"/>
      <w:r w:rsidRPr="0097012A">
        <w:t xml:space="preserve">independentemente de pedido do </w:t>
      </w:r>
      <w:commentRangeStart w:id="12"/>
      <w:r w:rsidRPr="0097012A">
        <w:t>contratado</w:t>
      </w:r>
      <w:commentRangeEnd w:id="12"/>
      <w:r w:rsidR="00DA4A7D">
        <w:rPr>
          <w:rStyle w:val="Refdecomentrio"/>
          <w:rFonts w:ascii="Ecofont_Spranq_eco_Sans" w:hAnsi="Ecofont_Spranq_eco_Sans" w:cs="Tahoma"/>
          <w:color w:val="auto"/>
        </w:rPr>
        <w:commentReference w:id="12"/>
      </w:r>
      <w:r w:rsidRPr="0097012A">
        <w:t xml:space="preserve">, </w:t>
      </w:r>
      <w:bookmarkEnd w:id="11"/>
      <w:r w:rsidRPr="0097012A">
        <w:t xml:space="preserve">os preços iniciais serão reajustados, </w:t>
      </w:r>
      <w:r w:rsidRPr="004920B4">
        <w:t>mediante</w:t>
      </w:r>
      <w:r w:rsidRPr="0097012A">
        <w:t xml:space="preserve"> a aplicação, pelo contratante, do índice</w:t>
      </w:r>
      <w:r w:rsidR="00C322D1">
        <w:t xml:space="preserve"> IGPM</w:t>
      </w:r>
      <w:r w:rsidRPr="0097012A">
        <w:rPr>
          <w:i/>
          <w:iCs/>
        </w:rPr>
        <w:t>,</w:t>
      </w:r>
      <w:r w:rsidRPr="0097012A">
        <w:t xml:space="preserve"> exclusivamente para as obrigações iniciadas e concluídas após a ocorrência da anualidade</w:t>
      </w:r>
      <w:commentRangeEnd w:id="10"/>
      <w:r w:rsidR="00B4424E" w:rsidRPr="0097012A">
        <w:rPr>
          <w:rStyle w:val="Refdecomentrio"/>
          <w:color w:val="auto"/>
          <w:sz w:val="20"/>
          <w:szCs w:val="20"/>
        </w:rPr>
        <w:commentReference w:id="10"/>
      </w:r>
      <w:r w:rsidRPr="0097012A">
        <w:t>.</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será(ão),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commentRangeStart w:id="13"/>
      <w:r w:rsidR="0023230F">
        <w:fldChar w:fldCharType="begin"/>
      </w:r>
      <w:r w:rsidR="0023230F">
        <w:instrText>HYPERLINK "http://www.planalto.gov.br/ccivil_03/_ato2019-2022/2021/lei/L14133.htm" \l "art92"</w:instrText>
      </w:r>
      <w:r w:rsidR="0023230F">
        <w:fldChar w:fldCharType="separate"/>
      </w:r>
      <w:r w:rsidRPr="0097012A">
        <w:rPr>
          <w:rStyle w:val="Hyperlink"/>
        </w:rPr>
        <w:t>(art. 92, X, XI e XIV</w:t>
      </w:r>
      <w:r w:rsidR="0023230F">
        <w:rPr>
          <w:rStyle w:val="Hyperlink"/>
        </w:rPr>
        <w:fldChar w:fldCharType="end"/>
      </w:r>
      <w:commentRangeEnd w:id="13"/>
      <w:r w:rsidR="007E65CB">
        <w:rPr>
          <w:rStyle w:val="Refdecomentrio"/>
          <w:rFonts w:ascii="Ecofont_Spranq_eco_Sans" w:eastAsiaTheme="minorEastAsia" w:hAnsi="Ecofont_Spranq_eco_Sans" w:cs="Tahoma"/>
          <w:b w:val="0"/>
          <w:bCs w:val="0"/>
        </w:rPr>
        <w:commentReference w:id="13"/>
      </w:r>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lastRenderedPageBreak/>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7777777" w:rsidR="00B96063" w:rsidRPr="0097012A" w:rsidRDefault="00B96063" w:rsidP="00826A56">
      <w:pPr>
        <w:pStyle w:val="Nivel3"/>
        <w:rPr>
          <w:b/>
          <w:bCs/>
        </w:rPr>
      </w:pPr>
      <w:r w:rsidRPr="0097012A">
        <w:t xml:space="preserve"> </w:t>
      </w:r>
      <w:commentRangeStart w:id="14"/>
      <w:r w:rsidRPr="0097012A">
        <w:t xml:space="preserve">A </w:t>
      </w:r>
      <w:r w:rsidRPr="004920B4">
        <w:t>Administração</w:t>
      </w:r>
      <w:r w:rsidRPr="0097012A">
        <w:t xml:space="preserve"> terá o prazo de</w:t>
      </w:r>
      <w:r w:rsidRPr="0097012A">
        <w:rPr>
          <w:i/>
          <w:iCs/>
          <w:color w:val="FF0000"/>
        </w:rPr>
        <w:t xml:space="preserve"> XXXXXXX</w:t>
      </w:r>
      <w:r w:rsidRPr="0097012A">
        <w:t xml:space="preserve">, a contar da data do protocolo do requerimento para decidir, admitida a prorrogação motivada, por igual período. </w:t>
      </w:r>
      <w:commentRangeEnd w:id="14"/>
      <w:r w:rsidR="00C841FF" w:rsidRPr="0097012A">
        <w:rPr>
          <w:rStyle w:val="Refdecomentrio"/>
          <w:color w:val="auto"/>
          <w:sz w:val="20"/>
          <w:szCs w:val="20"/>
        </w:rPr>
        <w:commentReference w:id="14"/>
      </w:r>
    </w:p>
    <w:p w14:paraId="1B263DA5" w14:textId="5F8B1274" w:rsidR="00B96063" w:rsidRPr="0097012A" w:rsidRDefault="00B96063" w:rsidP="00826A56">
      <w:pPr>
        <w:pStyle w:val="Nivel2"/>
        <w:rPr>
          <w:color w:val="FF0000"/>
        </w:rPr>
      </w:pPr>
      <w:commentRangeStart w:id="15"/>
      <w:r w:rsidRPr="004920B4">
        <w:t>Responder</w:t>
      </w:r>
      <w:r w:rsidRPr="0097012A">
        <w:t xml:space="preserve"> eventuais pedidos de reestabelecimento do equilíbrio econômico-financeiro feitos pelo contratado no prazo máximo de </w:t>
      </w:r>
      <w:r w:rsidRPr="0097012A">
        <w:rPr>
          <w:color w:val="FF0000"/>
        </w:rPr>
        <w:t>XXXXXX.</w:t>
      </w:r>
      <w:commentRangeEnd w:id="15"/>
      <w:r w:rsidR="001A15C2" w:rsidRPr="0097012A">
        <w:rPr>
          <w:rStyle w:val="Refdecomentrio"/>
          <w:color w:val="auto"/>
          <w:sz w:val="20"/>
          <w:szCs w:val="20"/>
        </w:rPr>
        <w:commentReference w:id="15"/>
      </w:r>
    </w:p>
    <w:p w14:paraId="07E8CC99" w14:textId="1A3FFD5B" w:rsidR="00B96063" w:rsidRPr="0097012A" w:rsidRDefault="00B96063" w:rsidP="00826A56">
      <w:pPr>
        <w:pStyle w:val="Nivel2"/>
      </w:pPr>
      <w:bookmarkStart w:id="16" w:name="_Hlk114499841"/>
      <w:bookmarkEnd w:id="16"/>
      <w:r w:rsidRPr="0097012A">
        <w:t xml:space="preserve">Comunicar o Contratado na hipótese de posterior alteração do projeto pelo Contratante, no caso </w:t>
      </w:r>
      <w:hyperlink r:id="rId21"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commentRangeStart w:id="17"/>
      <w:r w:rsidRPr="0097012A">
        <w:t>CLÁUSULA NONA - OBRIGAÇÕES DO CONTRATADO (</w:t>
      </w:r>
      <w:hyperlink r:id="rId22" w:anchor="art92" w:history="1">
        <w:r w:rsidRPr="0097012A">
          <w:rPr>
            <w:rStyle w:val="Hyperlink"/>
          </w:rPr>
          <w:t>art. 92, XIV, XVI e XVII</w:t>
        </w:r>
      </w:hyperlink>
      <w:r w:rsidRPr="0097012A">
        <w:t>)</w:t>
      </w:r>
      <w:commentRangeEnd w:id="17"/>
      <w:r w:rsidR="0025376C" w:rsidRPr="0097012A">
        <w:rPr>
          <w:rStyle w:val="Refdecomentrio"/>
          <w:rFonts w:eastAsiaTheme="minorEastAsia"/>
          <w:b w:val="0"/>
          <w:bCs w:val="0"/>
          <w:sz w:val="20"/>
          <w:szCs w:val="20"/>
        </w:rPr>
        <w:commentReference w:id="17"/>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3"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commentRangeStart w:id="18"/>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8"/>
      <w:r w:rsidR="0025376C" w:rsidRPr="0097012A">
        <w:rPr>
          <w:rStyle w:val="Refdecomentrio"/>
          <w:color w:val="auto"/>
          <w:sz w:val="20"/>
          <w:szCs w:val="20"/>
        </w:rPr>
        <w:commentReference w:id="18"/>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4"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5"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Q</w:t>
      </w:r>
      <w:commentRangeStart w:id="19"/>
      <w:r w:rsidRPr="004920B4">
        <w:t xml:space="preserve">uando não for possível a verificação da regularidade no Sistema de Cadastro de Fornecedores – SICAF, o contratado deverá entregar ao setor responsável pela fiscalização do contrato, até o dia trinta do </w:t>
      </w:r>
      <w:r w:rsidRPr="004920B4">
        <w:lastRenderedPageBreak/>
        <w:t xml:space="preserve">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9"/>
      <w:r w:rsidR="00E237BD" w:rsidRPr="004920B4">
        <w:rPr>
          <w:rStyle w:val="Refdecomentrio"/>
          <w:sz w:val="20"/>
          <w:szCs w:val="20"/>
        </w:rPr>
        <w:commentReference w:id="19"/>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6"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7"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32679830" w14:textId="1F90E962" w:rsidR="00B96063" w:rsidRPr="0097012A" w:rsidRDefault="00B96063" w:rsidP="00826A56">
      <w:pPr>
        <w:pStyle w:val="Nivel01"/>
        <w:rPr>
          <w:color w:val="FFFFFF" w:themeColor="background1"/>
        </w:rPr>
      </w:pPr>
      <w:r w:rsidRPr="0097012A">
        <w:lastRenderedPageBreak/>
        <w:t>CLÁUSULA DÉCIMA PRIMEIRA – GARANTIA DE EXECUÇÃO (</w:t>
      </w:r>
      <w:hyperlink r:id="rId29" w:anchor="art92" w:history="1">
        <w:r w:rsidRPr="0097012A">
          <w:rPr>
            <w:rStyle w:val="Hyperlink"/>
          </w:rPr>
          <w:t>art. 92, XII</w:t>
        </w:r>
      </w:hyperlink>
      <w:r w:rsidRPr="0097012A">
        <w:t>)</w:t>
      </w:r>
    </w:p>
    <w:p w14:paraId="75740C0F" w14:textId="162CC626" w:rsidR="00B96063" w:rsidRPr="001238CA" w:rsidRDefault="00B96063" w:rsidP="00826A56">
      <w:pPr>
        <w:pStyle w:val="Nvel2-Red"/>
        <w:rPr>
          <w:color w:val="auto"/>
        </w:rPr>
      </w:pPr>
      <w:commentRangeStart w:id="20"/>
      <w:r w:rsidRPr="001238CA">
        <w:rPr>
          <w:color w:val="auto"/>
        </w:rPr>
        <w:t xml:space="preserve">A contratação conta com garantia de execução, nos moldes do </w:t>
      </w:r>
      <w:hyperlink r:id="rId30" w:anchor="art96" w:history="1">
        <w:r w:rsidRPr="001238CA">
          <w:rPr>
            <w:rStyle w:val="Hyperlink"/>
            <w:color w:val="auto"/>
          </w:rPr>
          <w:t>art. 96 da Lei nº 14.133, de 2021</w:t>
        </w:r>
      </w:hyperlink>
      <w:r w:rsidRPr="001238CA">
        <w:rPr>
          <w:color w:val="auto"/>
        </w:rPr>
        <w:t xml:space="preserve">, </w:t>
      </w:r>
      <w:r w:rsidR="00A92F92" w:rsidRPr="001238CA">
        <w:rPr>
          <w:color w:val="auto"/>
          <w:highlight w:val="yellow"/>
        </w:rPr>
        <w:t>na</w:t>
      </w:r>
      <w:r w:rsidR="00756729" w:rsidRPr="001238CA">
        <w:rPr>
          <w:color w:val="auto"/>
          <w:highlight w:val="yellow"/>
        </w:rPr>
        <w:t>s</w:t>
      </w:r>
      <w:r w:rsidR="00A92F92" w:rsidRPr="001238CA">
        <w:rPr>
          <w:color w:val="auto"/>
          <w:highlight w:val="yellow"/>
        </w:rPr>
        <w:t xml:space="preserve"> modalidade</w:t>
      </w:r>
      <w:r w:rsidR="00756729" w:rsidRPr="001238CA">
        <w:rPr>
          <w:color w:val="auto"/>
          <w:highlight w:val="yellow"/>
        </w:rPr>
        <w:t xml:space="preserve">s seguro garantia ou </w:t>
      </w:r>
      <w:r w:rsidR="001238CA" w:rsidRPr="001238CA">
        <w:rPr>
          <w:color w:val="auto"/>
          <w:highlight w:val="yellow"/>
        </w:rPr>
        <w:t>cheque caução ou fiança bancária</w:t>
      </w:r>
      <w:r w:rsidR="00A92F92" w:rsidRPr="001238CA">
        <w:rPr>
          <w:color w:val="auto"/>
          <w:highlight w:val="yellow"/>
        </w:rPr>
        <w:t>,</w:t>
      </w:r>
      <w:r w:rsidR="00A92F92" w:rsidRPr="001238CA">
        <w:rPr>
          <w:color w:val="auto"/>
        </w:rPr>
        <w:t xml:space="preserve"> </w:t>
      </w:r>
      <w:r w:rsidRPr="001238CA">
        <w:rPr>
          <w:color w:val="auto"/>
        </w:rPr>
        <w:t xml:space="preserve">em valor correspondente a </w:t>
      </w:r>
      <w:r w:rsidR="001238CA" w:rsidRPr="001238CA">
        <w:rPr>
          <w:color w:val="auto"/>
        </w:rPr>
        <w:t>2</w:t>
      </w:r>
      <w:r w:rsidRPr="001238CA">
        <w:rPr>
          <w:color w:val="auto"/>
        </w:rPr>
        <w:t>% (</w:t>
      </w:r>
      <w:r w:rsidR="001238CA" w:rsidRPr="001238CA">
        <w:rPr>
          <w:color w:val="auto"/>
        </w:rPr>
        <w:t>dois p</w:t>
      </w:r>
      <w:r w:rsidRPr="001238CA">
        <w:rPr>
          <w:color w:val="auto"/>
        </w:rPr>
        <w:t>or cento) do valor total do contrato.</w:t>
      </w:r>
      <w:commentRangeEnd w:id="20"/>
      <w:r w:rsidR="00FC2225" w:rsidRPr="001238CA">
        <w:rPr>
          <w:rStyle w:val="Refdecomentrio"/>
          <w:color w:val="auto"/>
          <w:sz w:val="20"/>
          <w:szCs w:val="20"/>
        </w:rPr>
        <w:commentReference w:id="20"/>
      </w:r>
    </w:p>
    <w:p w14:paraId="08A4CF02" w14:textId="1D76B0A7" w:rsidR="00485F60" w:rsidRPr="001B3E6B" w:rsidRDefault="00485F60" w:rsidP="00826A56">
      <w:pPr>
        <w:pStyle w:val="Nvel2-Red"/>
        <w:rPr>
          <w:color w:val="auto"/>
        </w:rPr>
      </w:pPr>
      <w:r w:rsidRPr="001B3E6B">
        <w:rPr>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1B3E6B" w:rsidRPr="001B3E6B">
        <w:rPr>
          <w:color w:val="auto"/>
        </w:rPr>
        <w:t>2</w:t>
      </w:r>
      <w:r w:rsidRPr="001B3E6B">
        <w:rPr>
          <w:color w:val="auto"/>
        </w:rPr>
        <w:t>% (</w:t>
      </w:r>
      <w:r w:rsidR="001B3E6B" w:rsidRPr="001B3E6B">
        <w:rPr>
          <w:color w:val="auto"/>
        </w:rPr>
        <w:t>dois</w:t>
      </w:r>
      <w:r w:rsidRPr="001B3E6B">
        <w:rPr>
          <w:color w:val="auto"/>
        </w:rPr>
        <w:t xml:space="preserve"> por cento) do valor total do </w:t>
      </w:r>
      <w:commentRangeStart w:id="21"/>
      <w:r w:rsidRPr="001B3E6B">
        <w:rPr>
          <w:color w:val="auto"/>
        </w:rPr>
        <w:t>contrato</w:t>
      </w:r>
      <w:commentRangeEnd w:id="21"/>
      <w:r w:rsidRPr="001B3E6B">
        <w:rPr>
          <w:rStyle w:val="Refdecomentrio"/>
          <w:rFonts w:ascii="Ecofont_Spranq_eco_Sans" w:hAnsi="Ecofont_Spranq_eco_Sans" w:cs="Tahoma"/>
          <w:color w:val="auto"/>
        </w:rPr>
        <w:commentReference w:id="21"/>
      </w:r>
      <w:r w:rsidRPr="001B3E6B">
        <w:rPr>
          <w:color w:val="auto"/>
        </w:rPr>
        <w:t>.</w:t>
      </w:r>
    </w:p>
    <w:p w14:paraId="30180C64" w14:textId="41A80165" w:rsidR="00B96063" w:rsidRPr="001B3E6B" w:rsidRDefault="71A86A0D" w:rsidP="00826A56">
      <w:pPr>
        <w:pStyle w:val="Nvel2-Red"/>
        <w:rPr>
          <w:color w:val="auto"/>
        </w:rPr>
      </w:pPr>
      <w:r w:rsidRPr="001B3E6B">
        <w:rPr>
          <w:color w:val="auto"/>
        </w:rPr>
        <w:t>Caso utilizada a modalidade de seguro-garantia, a apólice deverá ter validade durante a vigência do contrato</w:t>
      </w:r>
      <w:r w:rsidR="00DB15AC" w:rsidRPr="001B3E6B">
        <w:rPr>
          <w:color w:val="auto"/>
        </w:rPr>
        <w:t xml:space="preserve"> e por mais 90 (noventa) dias após término deste prazo de vigência</w:t>
      </w:r>
      <w:r w:rsidR="780F0071" w:rsidRPr="001B3E6B">
        <w:rPr>
          <w:color w:val="auto"/>
        </w:rPr>
        <w:t>,</w:t>
      </w:r>
      <w:commentRangeStart w:id="22"/>
      <w:r w:rsidR="6FF36856" w:rsidRPr="001B3E6B">
        <w:rPr>
          <w:color w:val="auto"/>
        </w:rPr>
        <w:t xml:space="preserve"> permanecendo em vigor mesmo que o contratado não pague o prêmio nas datas convencionadas.</w:t>
      </w:r>
      <w:commentRangeEnd w:id="22"/>
      <w:r w:rsidR="00B96063" w:rsidRPr="001B3E6B">
        <w:rPr>
          <w:color w:val="auto"/>
        </w:rPr>
        <w:commentReference w:id="22"/>
      </w:r>
    </w:p>
    <w:p w14:paraId="42A71D4A" w14:textId="750AB8F8" w:rsidR="00B96063" w:rsidRPr="001B3E6B" w:rsidRDefault="00B96063" w:rsidP="00826A56">
      <w:pPr>
        <w:pStyle w:val="Nvel2-Red"/>
        <w:rPr>
          <w:color w:val="auto"/>
        </w:rPr>
      </w:pPr>
      <w:r w:rsidRPr="001B3E6B">
        <w:rPr>
          <w:color w:val="auto"/>
        </w:rPr>
        <w:t>A apólice do seguro garantia deverá acompanhar as modificações referentes à vigência do contrato principal mediante a emissão do respectivo endosso pela seguradora.</w:t>
      </w:r>
    </w:p>
    <w:p w14:paraId="56873D7E" w14:textId="4E4C9D54" w:rsidR="00B96063" w:rsidRPr="001B3E6B" w:rsidRDefault="00B96063" w:rsidP="00826A56">
      <w:pPr>
        <w:pStyle w:val="Nvel2-Red"/>
        <w:rPr>
          <w:color w:val="auto"/>
        </w:rPr>
      </w:pPr>
      <w:r w:rsidRPr="001B3E6B">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1B3E6B">
        <w:rPr>
          <w:color w:val="auto"/>
        </w:rPr>
        <w:fldChar w:fldCharType="begin"/>
      </w:r>
      <w:r w:rsidRPr="001B3E6B">
        <w:rPr>
          <w:color w:val="auto"/>
        </w:rPr>
        <w:instrText xml:space="preserve"> REF _Ref118297051 \r \h  \* MERGEFORMAT </w:instrText>
      </w:r>
      <w:r w:rsidRPr="001B3E6B">
        <w:rPr>
          <w:color w:val="auto"/>
        </w:rPr>
      </w:r>
      <w:r w:rsidRPr="001B3E6B">
        <w:rPr>
          <w:color w:val="auto"/>
        </w:rPr>
        <w:fldChar w:fldCharType="separate"/>
      </w:r>
      <w:r w:rsidR="008C68BC">
        <w:rPr>
          <w:color w:val="auto"/>
        </w:rPr>
        <w:t>10.6</w:t>
      </w:r>
      <w:r w:rsidRPr="001B3E6B">
        <w:rPr>
          <w:color w:val="auto"/>
        </w:rPr>
        <w:fldChar w:fldCharType="end"/>
      </w:r>
      <w:r w:rsidRPr="001B3E6B">
        <w:rPr>
          <w:color w:val="auto"/>
        </w:rPr>
        <w:t xml:space="preserve"> deste contrato.</w:t>
      </w:r>
    </w:p>
    <w:p w14:paraId="7A0665C7" w14:textId="77777777" w:rsidR="00B96063" w:rsidRPr="001B3E6B" w:rsidRDefault="00B96063" w:rsidP="00826A56">
      <w:pPr>
        <w:pStyle w:val="Nvel2-Red"/>
        <w:rPr>
          <w:color w:val="auto"/>
        </w:rPr>
      </w:pPr>
      <w:bookmarkStart w:id="23" w:name="_Ref118297051"/>
      <w:bookmarkStart w:id="24" w:name="_Ref128491764"/>
      <w:r w:rsidRPr="001B3E6B">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3"/>
      <w:bookmarkEnd w:id="24"/>
    </w:p>
    <w:p w14:paraId="627B763B" w14:textId="77777777" w:rsidR="00B96063" w:rsidRPr="001B3E6B" w:rsidRDefault="00B96063" w:rsidP="00826A56">
      <w:pPr>
        <w:pStyle w:val="Nvel2-Red"/>
        <w:rPr>
          <w:color w:val="auto"/>
        </w:rPr>
      </w:pPr>
      <w:bookmarkStart w:id="25" w:name="_Ref118297166"/>
      <w:r w:rsidRPr="001B3E6B">
        <w:rPr>
          <w:color w:val="auto"/>
        </w:rPr>
        <w:t>A garantia assegurará, qualquer que seja a modalidade escolhida, o pagamento de:</w:t>
      </w:r>
      <w:bookmarkEnd w:id="25"/>
      <w:r w:rsidRPr="001B3E6B">
        <w:rPr>
          <w:color w:val="auto"/>
        </w:rPr>
        <w:t xml:space="preserve"> </w:t>
      </w:r>
    </w:p>
    <w:p w14:paraId="3573A7DA" w14:textId="77777777" w:rsidR="00B96063" w:rsidRPr="001B3E6B" w:rsidRDefault="00B96063" w:rsidP="00826A56">
      <w:pPr>
        <w:pStyle w:val="Nvel3-R"/>
        <w:rPr>
          <w:color w:val="auto"/>
        </w:rPr>
      </w:pPr>
      <w:r w:rsidRPr="001B3E6B">
        <w:rPr>
          <w:color w:val="auto"/>
        </w:rPr>
        <w:t xml:space="preserve">prejuízos advindos do não cumprimento do objeto do contrato e do não adimplemento das demais obrigações nele previstas; </w:t>
      </w:r>
    </w:p>
    <w:p w14:paraId="30FB17AF" w14:textId="77777777" w:rsidR="00B96063" w:rsidRPr="001B3E6B" w:rsidRDefault="00B96063" w:rsidP="00826A56">
      <w:pPr>
        <w:pStyle w:val="Nvel3-R"/>
        <w:rPr>
          <w:color w:val="auto"/>
        </w:rPr>
      </w:pPr>
      <w:r w:rsidRPr="001B3E6B">
        <w:rPr>
          <w:color w:val="auto"/>
        </w:rPr>
        <w:t xml:space="preserve">multas moratórias e punitivas aplicadas pela Administração à contratada; e  </w:t>
      </w:r>
    </w:p>
    <w:p w14:paraId="2BC864F9" w14:textId="77777777" w:rsidR="00B96063" w:rsidRPr="001B3E6B" w:rsidRDefault="00B96063" w:rsidP="00826A56">
      <w:pPr>
        <w:pStyle w:val="Nvel3-R"/>
        <w:rPr>
          <w:color w:val="auto"/>
        </w:rPr>
      </w:pPr>
      <w:r w:rsidRPr="001B3E6B">
        <w:rPr>
          <w:color w:val="auto"/>
        </w:rPr>
        <w:t>obrigações trabalhistas e previdenciárias de qualquer natureza e para com o FGTS, não adimplidas pelo contratado, quando couber.</w:t>
      </w:r>
    </w:p>
    <w:p w14:paraId="41D67A7A" w14:textId="1BEC2455" w:rsidR="00B96063" w:rsidRPr="001B3E6B" w:rsidRDefault="7826B273" w:rsidP="00826A56">
      <w:pPr>
        <w:pStyle w:val="Nvel2-Red"/>
        <w:rPr>
          <w:color w:val="auto"/>
        </w:rPr>
      </w:pPr>
      <w:r w:rsidRPr="001B3E6B">
        <w:rPr>
          <w:color w:val="auto"/>
        </w:rPr>
        <w:t>A modalidade seguro-garantia somente será aceita se contemplar todos os eventos indicados no item</w:t>
      </w:r>
      <w:r w:rsidR="06620B1D" w:rsidRPr="001B3E6B">
        <w:rPr>
          <w:color w:val="auto"/>
        </w:rPr>
        <w:t xml:space="preserve"> </w:t>
      </w:r>
      <w:r w:rsidR="00A90448" w:rsidRPr="001B3E6B">
        <w:rPr>
          <w:color w:val="auto"/>
          <w:highlight w:val="yellow"/>
        </w:rPr>
        <w:fldChar w:fldCharType="begin"/>
      </w:r>
      <w:r w:rsidR="00A90448" w:rsidRPr="001B3E6B">
        <w:rPr>
          <w:color w:val="auto"/>
        </w:rPr>
        <w:instrText xml:space="preserve"> REF _Ref118297166 \r \h </w:instrText>
      </w:r>
      <w:r w:rsidR="00A90448" w:rsidRPr="001B3E6B">
        <w:rPr>
          <w:color w:val="auto"/>
          <w:highlight w:val="yellow"/>
        </w:rPr>
      </w:r>
      <w:r w:rsidR="00A90448" w:rsidRPr="001B3E6B">
        <w:rPr>
          <w:color w:val="auto"/>
          <w:highlight w:val="yellow"/>
        </w:rPr>
        <w:fldChar w:fldCharType="separate"/>
      </w:r>
      <w:r w:rsidR="008C68BC">
        <w:rPr>
          <w:color w:val="auto"/>
        </w:rPr>
        <w:t>10.7</w:t>
      </w:r>
      <w:r w:rsidR="00A90448" w:rsidRPr="001B3E6B">
        <w:rPr>
          <w:color w:val="auto"/>
          <w:highlight w:val="yellow"/>
        </w:rPr>
        <w:fldChar w:fldCharType="end"/>
      </w:r>
      <w:r w:rsidR="00B96063" w:rsidRPr="001B3E6B">
        <w:rPr>
          <w:color w:val="auto"/>
        </w:rPr>
        <w:fldChar w:fldCharType="begin"/>
      </w:r>
      <w:r w:rsidR="00B96063" w:rsidRPr="001B3E6B">
        <w:rPr>
          <w:color w:val="auto"/>
        </w:rPr>
        <w:instrText xml:space="preserve"> REF _Ref118297166 \r \h  \* MERGEFORMAT </w:instrText>
      </w:r>
      <w:r w:rsidR="00B96063" w:rsidRPr="001B3E6B">
        <w:rPr>
          <w:color w:val="auto"/>
        </w:rPr>
      </w:r>
      <w:r w:rsidR="00B96063" w:rsidRPr="001B3E6B">
        <w:rPr>
          <w:color w:val="auto"/>
        </w:rPr>
        <w:fldChar w:fldCharType="separate"/>
      </w:r>
      <w:r w:rsidR="008C68BC">
        <w:rPr>
          <w:color w:val="auto"/>
        </w:rPr>
        <w:t>10.7</w:t>
      </w:r>
      <w:r w:rsidR="00B96063" w:rsidRPr="001B3E6B">
        <w:rPr>
          <w:color w:val="auto"/>
        </w:rPr>
        <w:fldChar w:fldCharType="end"/>
      </w:r>
      <w:r w:rsidRPr="001B3E6B">
        <w:rPr>
          <w:color w:val="auto"/>
        </w:rPr>
        <w:t xml:space="preserve">, observada a legislação que rege a matéria. </w:t>
      </w:r>
    </w:p>
    <w:p w14:paraId="5C2561E0" w14:textId="77777777" w:rsidR="00B96063" w:rsidRPr="001B3E6B" w:rsidRDefault="00B96063" w:rsidP="00826A56">
      <w:pPr>
        <w:pStyle w:val="Nvel2-Red"/>
        <w:rPr>
          <w:color w:val="auto"/>
        </w:rPr>
      </w:pPr>
      <w:commentRangeStart w:id="26"/>
      <w:r w:rsidRPr="001B3E6B">
        <w:rPr>
          <w:color w:val="auto"/>
        </w:rPr>
        <w:t>A garantia em dinheiro deverá ser efetuada em favor do contratante, em conta específica na Caixa Econômica Federal, com correção monetária.</w:t>
      </w:r>
      <w:commentRangeEnd w:id="26"/>
      <w:r w:rsidRPr="001B3E6B">
        <w:rPr>
          <w:rStyle w:val="Refdecomentrio"/>
          <w:color w:val="auto"/>
        </w:rPr>
        <w:commentReference w:id="26"/>
      </w:r>
    </w:p>
    <w:p w14:paraId="327918BF" w14:textId="77777777" w:rsidR="00B96063" w:rsidRPr="001B3E6B" w:rsidRDefault="00B96063" w:rsidP="00826A56">
      <w:pPr>
        <w:pStyle w:val="Nvel2-Red"/>
        <w:rPr>
          <w:color w:val="auto"/>
        </w:rPr>
      </w:pPr>
      <w:r w:rsidRPr="001B3E6B">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6B0900B4" w:rsidR="00B96063" w:rsidRPr="001B3E6B" w:rsidRDefault="00B96063" w:rsidP="00826A56">
      <w:pPr>
        <w:pStyle w:val="Nvel2-Red"/>
        <w:rPr>
          <w:color w:val="auto"/>
        </w:rPr>
      </w:pPr>
      <w:r w:rsidRPr="001B3E6B">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1" w:anchor="art827">
        <w:r w:rsidRPr="001B3E6B">
          <w:rPr>
            <w:rStyle w:val="Hyperlink"/>
            <w:color w:val="auto"/>
          </w:rPr>
          <w:t>artigo 827 do Código Civil.</w:t>
        </w:r>
      </w:hyperlink>
    </w:p>
    <w:p w14:paraId="0CF75D24" w14:textId="77777777" w:rsidR="00B96063" w:rsidRPr="001B3E6B" w:rsidRDefault="00B96063" w:rsidP="00826A56">
      <w:pPr>
        <w:pStyle w:val="Nvel2-Red"/>
        <w:rPr>
          <w:color w:val="auto"/>
        </w:rPr>
      </w:pPr>
      <w:r w:rsidRPr="001B3E6B">
        <w:rPr>
          <w:color w:val="auto"/>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1B3E6B" w:rsidRDefault="00B96063" w:rsidP="00826A56">
      <w:pPr>
        <w:pStyle w:val="Nvel2-Red"/>
        <w:rPr>
          <w:color w:val="auto"/>
        </w:rPr>
      </w:pPr>
      <w:r w:rsidRPr="001B3E6B">
        <w:rPr>
          <w:color w:val="auto"/>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1B3E6B" w:rsidRDefault="00B96063" w:rsidP="00826A56">
      <w:pPr>
        <w:pStyle w:val="Nvel2-Red"/>
        <w:rPr>
          <w:color w:val="auto"/>
        </w:rPr>
      </w:pPr>
      <w:r w:rsidRPr="001B3E6B">
        <w:rPr>
          <w:color w:val="auto"/>
        </w:rPr>
        <w:t>O Contratante executará a garantia na forma prevista na legislação que rege a matéria.</w:t>
      </w:r>
    </w:p>
    <w:p w14:paraId="126A8A89" w14:textId="536CDAB9" w:rsidR="00B96063" w:rsidRPr="001B3E6B" w:rsidRDefault="00B96063" w:rsidP="00826A56">
      <w:pPr>
        <w:pStyle w:val="Nvel3-R"/>
        <w:rPr>
          <w:color w:val="auto"/>
        </w:rPr>
      </w:pPr>
      <w:r w:rsidRPr="001B3E6B">
        <w:rPr>
          <w:color w:val="auto"/>
        </w:rPr>
        <w:lastRenderedPageBreak/>
        <w:t>O emitente da garantia ofertada pelo contratado deverá ser notificado pelo contratante quanto ao início de processo administrativo para apuração de descumprimento de cláusulas contratuais (</w:t>
      </w:r>
      <w:hyperlink r:id="rId32" w:anchor="art137§4">
        <w:r w:rsidRPr="001B3E6B">
          <w:rPr>
            <w:rStyle w:val="Hyperlink"/>
            <w:color w:val="auto"/>
          </w:rPr>
          <w:t>art. 137, § 4º, da Lei n.º 14.133, de 2021</w:t>
        </w:r>
      </w:hyperlink>
      <w:r w:rsidRPr="001B3E6B">
        <w:rPr>
          <w:color w:val="auto"/>
        </w:rPr>
        <w:t>).</w:t>
      </w:r>
    </w:p>
    <w:p w14:paraId="1C51638B" w14:textId="120FC340" w:rsidR="00B96063" w:rsidRPr="001B3E6B" w:rsidRDefault="00B96063" w:rsidP="00826A56">
      <w:pPr>
        <w:pStyle w:val="Nvel3-R"/>
        <w:rPr>
          <w:color w:val="auto"/>
        </w:rPr>
      </w:pPr>
      <w:r w:rsidRPr="001B3E6B">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3" w:anchor="art20">
        <w:r w:rsidRPr="001B3E6B">
          <w:rPr>
            <w:rStyle w:val="Hyperlink"/>
            <w:color w:val="auto"/>
          </w:rPr>
          <w:t>art. 20 da Circular Susep n° 662, de 11 de abril de 2022</w:t>
        </w:r>
      </w:hyperlink>
      <w:r w:rsidRPr="001B3E6B">
        <w:rPr>
          <w:color w:val="auto"/>
        </w:rPr>
        <w:t>.</w:t>
      </w:r>
    </w:p>
    <w:p w14:paraId="796480B1" w14:textId="417C0FD6" w:rsidR="00B96063" w:rsidRPr="001B3E6B" w:rsidRDefault="00B96063" w:rsidP="00826A56">
      <w:pPr>
        <w:pStyle w:val="Nvel2-Red"/>
        <w:rPr>
          <w:color w:val="auto"/>
        </w:rPr>
      </w:pPr>
      <w:r w:rsidRPr="001B3E6B">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1B3E6B" w:rsidRDefault="00770AF6" w:rsidP="00826A56">
      <w:pPr>
        <w:pStyle w:val="Nvel2-Red"/>
        <w:rPr>
          <w:color w:val="auto"/>
        </w:rPr>
      </w:pPr>
      <w:r w:rsidRPr="001B3E6B">
        <w:rPr>
          <w:color w:val="auto"/>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1B3E6B" w:rsidRDefault="00B96063" w:rsidP="00826A56">
      <w:pPr>
        <w:pStyle w:val="Nvel2-Red"/>
        <w:rPr>
          <w:color w:val="auto"/>
        </w:rPr>
      </w:pPr>
      <w:r w:rsidRPr="001B3E6B">
        <w:rPr>
          <w:color w:val="auto"/>
        </w:rPr>
        <w:t xml:space="preserve">O garantidor não é parte para figurar em processo administrativo instaurado pelo contratante com o objetivo de apurar prejuízos e/ou aplicar sanções à contratada. </w:t>
      </w:r>
    </w:p>
    <w:p w14:paraId="589496F0" w14:textId="67E60957" w:rsidR="00B96063" w:rsidRPr="001B3E6B" w:rsidRDefault="00B96063" w:rsidP="00826A56">
      <w:pPr>
        <w:pStyle w:val="Nvel2-Red"/>
        <w:rPr>
          <w:color w:val="auto"/>
        </w:rPr>
      </w:pPr>
      <w:r w:rsidRPr="001B3E6B">
        <w:rPr>
          <w:color w:val="auto"/>
        </w:rPr>
        <w:t>O contratado autoriza o contratante a reter, a qualquer tempo, a garantia, na forma prevista neste Contrato.</w:t>
      </w:r>
    </w:p>
    <w:p w14:paraId="64CFEA5C" w14:textId="47974E77" w:rsidR="00B96063" w:rsidRPr="001B3E6B" w:rsidRDefault="00B96063" w:rsidP="00826A56">
      <w:pPr>
        <w:pStyle w:val="Nvel2-Red"/>
        <w:rPr>
          <w:color w:val="auto"/>
        </w:rPr>
      </w:pPr>
      <w:r w:rsidRPr="001B3E6B">
        <w:rPr>
          <w:color w:val="auto"/>
        </w:rPr>
        <w:t>A garantia de execução é independente de eventual garantia do produto</w:t>
      </w:r>
      <w:r w:rsidR="00770AF6" w:rsidRPr="001B3E6B">
        <w:rPr>
          <w:color w:val="auto"/>
        </w:rPr>
        <w:t xml:space="preserve"> ou serviço</w:t>
      </w:r>
      <w:r w:rsidRPr="001B3E6B">
        <w:rPr>
          <w:color w:val="auto"/>
        </w:rPr>
        <w:t xml:space="preserve"> prevista especificamente no Termo de Referência.</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4"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5"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97012A">
          <w:rPr>
            <w:rStyle w:val="Hyperlink"/>
            <w:rFonts w:ascii="Arial" w:eastAsia="Arial" w:hAnsi="Arial" w:cs="Arial"/>
            <w:sz w:val="20"/>
            <w:szCs w:val="20"/>
          </w:rPr>
          <w:t xml:space="preserve">art. 156, §2º, da </w:t>
        </w:r>
        <w:bookmarkStart w:id="27" w:name="_Hlk114504069"/>
        <w:r w:rsidRPr="0097012A">
          <w:rPr>
            <w:rStyle w:val="Hyperlink"/>
            <w:rFonts w:ascii="Arial" w:eastAsia="Arial" w:hAnsi="Arial" w:cs="Arial"/>
            <w:sz w:val="20"/>
            <w:szCs w:val="20"/>
          </w:rPr>
          <w:t>Lei nº 14.133, de 2021</w:t>
        </w:r>
        <w:bookmarkEnd w:id="27"/>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2CA83BDC"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por cento) por dia de atraso injustificado sobre o valor da parcela inadimplida, até o limite de </w:t>
      </w:r>
      <w:r w:rsidR="00B96063" w:rsidRPr="71082589">
        <w:rPr>
          <w:rFonts w:ascii="Arial" w:eastAsia="Arial" w:hAnsi="Arial" w:cs="Arial"/>
          <w:color w:val="FF0000"/>
          <w:sz w:val="20"/>
          <w:szCs w:val="20"/>
        </w:rPr>
        <w:t>...... (.......)</w:t>
      </w:r>
      <w:r w:rsidR="00B96063" w:rsidRPr="71082589">
        <w:rPr>
          <w:rFonts w:ascii="Arial" w:eastAsia="Arial" w:hAnsi="Arial" w:cs="Arial"/>
          <w:sz w:val="20"/>
          <w:szCs w:val="20"/>
        </w:rPr>
        <w:t xml:space="preserve"> </w:t>
      </w:r>
      <w:commentRangeStart w:id="28"/>
      <w:r w:rsidR="00B96063" w:rsidRPr="71082589">
        <w:rPr>
          <w:rFonts w:ascii="Arial" w:eastAsia="Arial" w:hAnsi="Arial" w:cs="Arial"/>
          <w:sz w:val="20"/>
          <w:szCs w:val="20"/>
        </w:rPr>
        <w:t>dias</w:t>
      </w:r>
      <w:commentRangeEnd w:id="28"/>
      <w:r w:rsidR="00B96063">
        <w:commentReference w:id="28"/>
      </w:r>
      <w:r w:rsidR="00B96063" w:rsidRPr="71082589">
        <w:rPr>
          <w:rFonts w:ascii="Arial" w:eastAsia="Arial" w:hAnsi="Arial" w:cs="Arial"/>
          <w:sz w:val="20"/>
          <w:szCs w:val="20"/>
        </w:rPr>
        <w:t>;</w:t>
      </w:r>
    </w:p>
    <w:p w14:paraId="43219ABC" w14:textId="2674E631" w:rsidR="00B96063" w:rsidRPr="008C68BC"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008C68BC">
        <w:rPr>
          <w:rFonts w:ascii="Arial" w:eastAsia="Arial" w:hAnsi="Arial" w:cs="Arial"/>
          <w:i/>
          <w:iCs/>
          <w:color w:val="FF0000"/>
          <w:sz w:val="20"/>
          <w:szCs w:val="20"/>
        </w:rPr>
        <w:lastRenderedPageBreak/>
        <w:t>M</w:t>
      </w:r>
      <w:commentRangeStart w:id="29"/>
      <w:r w:rsidR="00B96063" w:rsidRPr="008C68BC">
        <w:rPr>
          <w:rFonts w:ascii="Arial" w:eastAsia="Arial" w:hAnsi="Arial" w:cs="Arial"/>
          <w:i/>
          <w:iCs/>
          <w:color w:val="FF0000"/>
          <w:sz w:val="20"/>
          <w:szCs w:val="20"/>
        </w:rPr>
        <w:t xml:space="preserve">oratória de </w:t>
      </w:r>
      <w:r w:rsidR="00BA1C62" w:rsidRPr="008C68BC">
        <w:rPr>
          <w:rFonts w:ascii="Arial" w:eastAsia="Arial" w:hAnsi="Arial" w:cs="Arial"/>
          <w:i/>
          <w:iCs/>
          <w:color w:val="FF0000"/>
          <w:sz w:val="20"/>
          <w:szCs w:val="20"/>
        </w:rPr>
        <w:t>0,07% (sete centésimos por cento) do valor total do contrato por dia de atraso injustificado, até o máximo de 2% (dois por cento),</w:t>
      </w:r>
      <w:r w:rsidR="00B96063" w:rsidRPr="008C68BC">
        <w:rPr>
          <w:rFonts w:ascii="Arial" w:eastAsia="Arial" w:hAnsi="Arial" w:cs="Arial"/>
          <w:i/>
          <w:iCs/>
          <w:color w:val="FF0000"/>
          <w:sz w:val="20"/>
          <w:szCs w:val="20"/>
        </w:rPr>
        <w:t xml:space="preserve"> pela inobservância do prazo fixado para apresentação, suplementação ou reposição da garantia. </w:t>
      </w:r>
    </w:p>
    <w:p w14:paraId="7B39F7AF" w14:textId="6331FF24" w:rsidR="00B96063" w:rsidRPr="008C68BC"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8C68BC">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w:t>
      </w:r>
      <w:hyperlink r:id="rId39" w:anchor="art137" w:history="1">
        <w:r w:rsidRPr="008C68BC">
          <w:rPr>
            <w:rStyle w:val="Hyperlink"/>
            <w:rFonts w:ascii="Arial" w:eastAsia="Arial" w:hAnsi="Arial" w:cs="Arial"/>
            <w:i/>
            <w:iCs/>
            <w:sz w:val="20"/>
            <w:szCs w:val="20"/>
          </w:rPr>
          <w:t>inciso I do art. 137 da Lei n. 14.133, de 2021</w:t>
        </w:r>
      </w:hyperlink>
      <w:r w:rsidRPr="008C68BC">
        <w:rPr>
          <w:rFonts w:ascii="Arial" w:eastAsia="Arial" w:hAnsi="Arial" w:cs="Arial"/>
          <w:i/>
          <w:iCs/>
          <w:color w:val="FF0000"/>
          <w:sz w:val="20"/>
          <w:szCs w:val="20"/>
        </w:rPr>
        <w:t xml:space="preserve">. </w:t>
      </w:r>
      <w:commentRangeEnd w:id="29"/>
      <w:r w:rsidR="003367B5" w:rsidRPr="008C68BC">
        <w:rPr>
          <w:rStyle w:val="Refdecomentrio"/>
          <w:rFonts w:ascii="Arial" w:hAnsi="Arial" w:cs="Arial"/>
          <w:sz w:val="20"/>
          <w:szCs w:val="20"/>
        </w:rPr>
        <w:commentReference w:id="29"/>
      </w:r>
    </w:p>
    <w:p w14:paraId="77D89F91" w14:textId="2D3DA4E4" w:rsidR="001F22BA" w:rsidRPr="008C68B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commentRangeStart w:id="30"/>
      <w:commentRangeStart w:id="31"/>
      <w:r w:rsidRPr="008C68BC">
        <w:rPr>
          <w:rFonts w:ascii="Arial" w:eastAsia="Arial" w:hAnsi="Arial" w:cs="Arial"/>
          <w:sz w:val="20"/>
          <w:szCs w:val="20"/>
        </w:rPr>
        <w:t xml:space="preserve"> Compensatória, para as infrações descritas nas alíneas “e” a “h” do subitem 12.1, de ....% a ...% do valor do </w:t>
      </w:r>
      <w:commentRangeStart w:id="32"/>
      <w:r w:rsidRPr="008C68BC">
        <w:rPr>
          <w:rFonts w:ascii="Arial" w:eastAsia="Arial" w:hAnsi="Arial" w:cs="Arial"/>
          <w:sz w:val="20"/>
          <w:szCs w:val="20"/>
        </w:rPr>
        <w:t>Contrato</w:t>
      </w:r>
      <w:commentRangeEnd w:id="32"/>
      <w:r w:rsidR="00B96063" w:rsidRPr="008C68BC">
        <w:commentReference w:id="32"/>
      </w:r>
      <w:r w:rsidRPr="008C68BC">
        <w:rPr>
          <w:rFonts w:ascii="Arial" w:eastAsia="Arial" w:hAnsi="Arial" w:cs="Arial"/>
          <w:sz w:val="20"/>
          <w:szCs w:val="20"/>
        </w:rPr>
        <w:t>.</w:t>
      </w:r>
    </w:p>
    <w:p w14:paraId="4C6E7F00" w14:textId="77777777" w:rsidR="001F22BA" w:rsidRPr="008C68B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8C68BC">
        <w:rPr>
          <w:rFonts w:ascii="Arial" w:eastAsia="Arial" w:hAnsi="Arial" w:cs="Arial"/>
          <w:sz w:val="20"/>
          <w:szCs w:val="20"/>
        </w:rPr>
        <w:t xml:space="preserve">Compensatória, para a inexecução total do contrato prevista na alínea “c” do subitem 12.1, de ....% a ...%  do valor do Contrato. </w:t>
      </w:r>
    </w:p>
    <w:p w14:paraId="460B109F" w14:textId="77777777" w:rsidR="001F22BA" w:rsidRPr="008C68B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8C68BC">
        <w:rPr>
          <w:rFonts w:ascii="Arial" w:eastAsia="Arial" w:hAnsi="Arial" w:cs="Arial"/>
          <w:sz w:val="20"/>
          <w:szCs w:val="20"/>
        </w:rPr>
        <w:t>Para infração descrita na alínea “b” do subitem 12.1, a multa será de ....% a ...%  do valor do Contrato.</w:t>
      </w:r>
    </w:p>
    <w:p w14:paraId="318973A3" w14:textId="77777777" w:rsidR="001F22BA" w:rsidRPr="008C68B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8C68BC">
        <w:rPr>
          <w:rFonts w:ascii="Arial" w:eastAsia="Arial" w:hAnsi="Arial" w:cs="Arial"/>
          <w:sz w:val="20"/>
          <w:szCs w:val="20"/>
        </w:rPr>
        <w:t>Para infrações descritas na alínea “d” do subitem 12.1, a multa será de ....% a ...%  do valor do Contrato.</w:t>
      </w:r>
    </w:p>
    <w:p w14:paraId="0125FFD2" w14:textId="77777777" w:rsidR="001F22BA" w:rsidRPr="008C68B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8C68BC">
        <w:rPr>
          <w:rFonts w:ascii="Arial" w:eastAsia="Arial" w:hAnsi="Arial" w:cs="Arial"/>
          <w:sz w:val="20"/>
          <w:szCs w:val="20"/>
        </w:rPr>
        <w:t>Para a infração descrita na alínea “a” do subitem 12.1, a multa será de ....% a ...% do valor do Contrato, ressalvadas as seguintes infrações:</w:t>
      </w:r>
    </w:p>
    <w:p w14:paraId="1D398B25" w14:textId="7F013D6C" w:rsidR="00B96063" w:rsidRPr="0097012A" w:rsidRDefault="001F22BA" w:rsidP="004920B4">
      <w:pPr>
        <w:suppressAutoHyphens/>
        <w:spacing w:before="120" w:after="120" w:line="276" w:lineRule="auto"/>
        <w:ind w:left="851"/>
        <w:contextualSpacing/>
        <w:jc w:val="both"/>
        <w:rPr>
          <w:rFonts w:ascii="Arial" w:eastAsia="Arial" w:hAnsi="Arial" w:cs="Arial"/>
          <w:sz w:val="20"/>
          <w:szCs w:val="20"/>
        </w:rPr>
      </w:pPr>
      <w:r w:rsidRPr="008C68BC">
        <w:rPr>
          <w:rFonts w:ascii="Arial" w:eastAsia="Arial" w:hAnsi="Arial" w:cs="Arial"/>
          <w:i/>
          <w:iCs/>
          <w:color w:val="FF0000"/>
          <w:sz w:val="20"/>
          <w:szCs w:val="20"/>
        </w:rPr>
        <w:t>[INDICAR ITENS ESPECÍFICOS DE INEXECUÇÃO PARCIAL QUE JUSTIFIQUEM PENA DIVERSA]</w:t>
      </w:r>
      <w:commentRangeEnd w:id="30"/>
      <w:r w:rsidRPr="008C68BC">
        <w:commentReference w:id="30"/>
      </w:r>
      <w:commentRangeEnd w:id="31"/>
      <w:r w:rsidRPr="008C68BC">
        <w:commentReference w:id="31"/>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0"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1"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2"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97012A">
          <w:rPr>
            <w:rStyle w:val="Hyperlink"/>
          </w:rPr>
          <w:t>art. 156, §8º, da Lei nº 14.133, de 2021</w:t>
        </w:r>
      </w:hyperlink>
      <w:r w:rsidRPr="0097012A">
        <w:t>).</w:t>
      </w:r>
    </w:p>
    <w:p w14:paraId="77703B11" w14:textId="77777777" w:rsidR="00B96063" w:rsidRPr="0097012A" w:rsidRDefault="00B96063" w:rsidP="00826A56">
      <w:pPr>
        <w:pStyle w:val="Nivel2"/>
      </w:pPr>
      <w:r w:rsidRPr="0097012A">
        <w:t xml:space="preserve">Previamente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33" w:name="_Hlk78351618"/>
      <w:bookmarkEnd w:id="33"/>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4"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5"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6"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7"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8"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1"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2"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commentRangeStart w:id="34"/>
      <w:r w:rsidRPr="0097012A">
        <w:t>CLÁUSULA DÉCIMA TERCEIRA – DA EXTINÇÃO CONTRATUAL (</w:t>
      </w:r>
      <w:hyperlink r:id="rId53" w:anchor="art92" w:history="1">
        <w:r w:rsidRPr="0097012A">
          <w:rPr>
            <w:rStyle w:val="Hyperlink"/>
          </w:rPr>
          <w:t>art. 92, XIX</w:t>
        </w:r>
      </w:hyperlink>
      <w:r w:rsidRPr="0097012A">
        <w:t>)</w:t>
      </w:r>
      <w:commentRangeEnd w:id="34"/>
      <w:r w:rsidR="009C7DCE" w:rsidRPr="0097012A">
        <w:rPr>
          <w:rStyle w:val="Refdecomentrio"/>
          <w:rFonts w:eastAsiaTheme="minorEastAsia"/>
          <w:b w:val="0"/>
          <w:bCs w:val="0"/>
          <w:sz w:val="20"/>
          <w:szCs w:val="20"/>
        </w:rPr>
        <w:commentReference w:id="34"/>
      </w:r>
    </w:p>
    <w:p w14:paraId="7437C117" w14:textId="3531BC4F" w:rsidR="00B96063" w:rsidRPr="005E7D69" w:rsidRDefault="00B96063" w:rsidP="00826A56">
      <w:pPr>
        <w:pStyle w:val="Nvel2-Red"/>
        <w:rPr>
          <w:color w:val="auto"/>
        </w:rPr>
      </w:pPr>
      <w:commentRangeStart w:id="35"/>
      <w:r w:rsidRPr="005E7D69">
        <w:rPr>
          <w:color w:val="auto"/>
        </w:rPr>
        <w:t xml:space="preserve">O contrato </w:t>
      </w:r>
      <w:r w:rsidRPr="005E7D69">
        <w:rPr>
          <w:color w:val="auto"/>
          <w:highlight w:val="yellow"/>
        </w:rPr>
        <w:t>se</w:t>
      </w:r>
      <w:r w:rsidR="005C7956" w:rsidRPr="005E7D69">
        <w:rPr>
          <w:color w:val="auto"/>
          <w:highlight w:val="yellow"/>
        </w:rPr>
        <w:t>rá extinto</w:t>
      </w:r>
      <w:r w:rsidRPr="005E7D69">
        <w:rPr>
          <w:color w:val="auto"/>
        </w:rPr>
        <w:t xml:space="preserve"> quando vencido o prazo nele estipulado, independentemente de terem sido cumpridas ou não as obrigações de ambas as partes contraentes.</w:t>
      </w:r>
    </w:p>
    <w:p w14:paraId="19F79614" w14:textId="09567138" w:rsidR="00B96063" w:rsidRPr="005E7D69" w:rsidRDefault="00B96063" w:rsidP="00826A56">
      <w:pPr>
        <w:pStyle w:val="Nvel2-Red"/>
        <w:rPr>
          <w:color w:val="auto"/>
        </w:rPr>
      </w:pPr>
      <w:r w:rsidRPr="005E7D69">
        <w:rPr>
          <w:color w:val="auto"/>
        </w:rPr>
        <w:t xml:space="preserve">O contrato </w:t>
      </w:r>
      <w:r w:rsidRPr="005E7D69">
        <w:rPr>
          <w:color w:val="auto"/>
          <w:highlight w:val="yellow"/>
        </w:rPr>
        <w:t>pode</w:t>
      </w:r>
      <w:r w:rsidR="005C7956" w:rsidRPr="005E7D69">
        <w:rPr>
          <w:color w:val="auto"/>
          <w:highlight w:val="yellow"/>
        </w:rPr>
        <w:t>rá</w:t>
      </w:r>
      <w:r w:rsidRPr="005E7D69">
        <w:rPr>
          <w:color w:val="auto"/>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5E7D69" w:rsidRDefault="00B96063" w:rsidP="00826A56">
      <w:pPr>
        <w:pStyle w:val="Nvel2-Red"/>
        <w:rPr>
          <w:color w:val="auto"/>
        </w:rPr>
      </w:pPr>
      <w:r w:rsidRPr="005E7D69">
        <w:rPr>
          <w:color w:val="auto"/>
        </w:rPr>
        <w:t>A extinção nesta hipótese ocorrerá na próxima data de aniversário do contrato, desde que haja a notificação do contratado pelo contratante nesse sentido com pelo menos 2 (dois) meses de antecedência desse dia.</w:t>
      </w:r>
      <w:commentRangeEnd w:id="35"/>
      <w:r w:rsidRPr="005E7D69">
        <w:rPr>
          <w:color w:val="auto"/>
        </w:rPr>
        <w:commentReference w:id="35"/>
      </w:r>
    </w:p>
    <w:p w14:paraId="5ED59361" w14:textId="77777777" w:rsidR="00B96063" w:rsidRPr="005E7D69" w:rsidRDefault="00B96063" w:rsidP="00826A56">
      <w:pPr>
        <w:pStyle w:val="Nvel2-Red"/>
        <w:rPr>
          <w:color w:val="auto"/>
        </w:rPr>
      </w:pPr>
      <w:commentRangeStart w:id="36"/>
      <w:r w:rsidRPr="005E7D69">
        <w:rPr>
          <w:color w:val="auto"/>
        </w:rPr>
        <w:t>Caso a notificação da não-continuidade do contrato de que trata este subitem ocorra com menos de 2 (dois) meses da data de aniversário, a extinção contratual ocorrerá após 2 (dois) meses da data da comunicação.</w:t>
      </w:r>
      <w:commentRangeEnd w:id="36"/>
      <w:r w:rsidRPr="005E7D69">
        <w:rPr>
          <w:color w:val="auto"/>
        </w:rPr>
        <w:commentReference w:id="36"/>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54"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5"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lastRenderedPageBreak/>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6"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7"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475F7E" w:rsidRDefault="00B96063" w:rsidP="00826A56">
      <w:pPr>
        <w:pStyle w:val="Nvel2-Red"/>
        <w:rPr>
          <w:color w:val="auto"/>
        </w:rPr>
      </w:pPr>
      <w:commentRangeStart w:id="37"/>
      <w:r w:rsidRPr="00475F7E">
        <w:rPr>
          <w:color w:val="auto"/>
        </w:rPr>
        <w:t>A dotação relativa aos exercícios financeiros subsequentes será indicada após aprovação da Lei Orçamentária respectiva e liberação dos créditos correspondentes, mediante apostilamento.</w:t>
      </w:r>
      <w:commentRangeEnd w:id="37"/>
      <w:r w:rsidRPr="00475F7E">
        <w:rPr>
          <w:color w:val="auto"/>
        </w:rPr>
        <w:commentReference w:id="37"/>
      </w:r>
    </w:p>
    <w:p w14:paraId="49FE1A8A" w14:textId="25AAF4F5" w:rsidR="00B96063" w:rsidRPr="0097012A" w:rsidRDefault="00B96063" w:rsidP="00826A56">
      <w:pPr>
        <w:pStyle w:val="Nivel01"/>
        <w:rPr>
          <w:color w:val="FFFFFF" w:themeColor="background1"/>
        </w:rPr>
      </w:pPr>
      <w:r>
        <w:t>CLÁUSULA DÉCIMA QUINTA – DOS CASOS OMISSOS (</w:t>
      </w:r>
      <w:hyperlink r:id="rId58" w:anchor="art92">
        <w:r w:rsidRPr="71082589">
          <w:rPr>
            <w:rStyle w:val="Hyperlink"/>
          </w:rPr>
          <w:t>art. 92, III</w:t>
        </w:r>
      </w:hyperlink>
      <w:r>
        <w:t>)</w:t>
      </w:r>
    </w:p>
    <w:p w14:paraId="344D0729" w14:textId="29ECADAD" w:rsidR="00B96063" w:rsidRPr="0097012A" w:rsidRDefault="00B96063" w:rsidP="00826A56">
      <w:pPr>
        <w:pStyle w:val="Nivel2"/>
      </w:pPr>
      <w:commentRangeStart w:id="38"/>
      <w:r>
        <w:t xml:space="preserve">Os casos omissos serão decididos pelo contratante, segundo as disposições contidas na </w:t>
      </w:r>
      <w:hyperlink r:id="rId59">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0">
        <w:r w:rsidRPr="71082589">
          <w:rPr>
            <w:rStyle w:val="Hyperlink"/>
          </w:rPr>
          <w:t>Lei nº 8.078, de 1990 – Código de Defesa do Consumidor</w:t>
        </w:r>
      </w:hyperlink>
      <w:r>
        <w:t xml:space="preserve"> – e normas e princípios gerais dos contratos.</w:t>
      </w:r>
      <w:commentRangeEnd w:id="38"/>
      <w:r>
        <w:commentReference w:id="38"/>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1" w:anchor="art124">
        <w:r w:rsidRPr="71082589">
          <w:rPr>
            <w:rStyle w:val="Hyperlink"/>
          </w:rPr>
          <w:t>arts.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2"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3" w:anchor="art94">
        <w:r w:rsidRPr="71082589">
          <w:rPr>
            <w:rStyle w:val="Hyperlink"/>
          </w:rPr>
          <w:t>art. 94 da Lei 14.133, de 2021</w:t>
        </w:r>
      </w:hyperlink>
      <w:r>
        <w:t xml:space="preserve">, bem como no respectivo sítio oficial na Internet, </w:t>
      </w:r>
      <w:r>
        <w:lastRenderedPageBreak/>
        <w:t xml:space="preserve">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4" w:anchor="art8§2">
        <w:r w:rsidRPr="71082589">
          <w:rPr>
            <w:rStyle w:val="Hyperlink"/>
          </w:rPr>
          <w:t>art. 8º, §2º, da Lei n. 12.527, de 2011</w:t>
        </w:r>
      </w:hyperlink>
      <w:r>
        <w:t xml:space="preserve">, c/c </w:t>
      </w:r>
      <w:hyperlink r:id="rId65"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6" w:anchor="art92§1">
        <w:r w:rsidRPr="71082589">
          <w:rPr>
            <w:rStyle w:val="Hyperlink"/>
          </w:rPr>
          <w:t>art. 92, §1º</w:t>
        </w:r>
      </w:hyperlink>
      <w:r>
        <w:t>)</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67"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commentRangeStart w:id="39"/>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commentRangeEnd w:id="39"/>
      <w:r w:rsidR="0038519B" w:rsidRPr="0097012A">
        <w:rPr>
          <w:rStyle w:val="Refdecomentrio"/>
          <w:rFonts w:ascii="Arial" w:hAnsi="Arial" w:cs="Arial"/>
          <w:sz w:val="20"/>
          <w:szCs w:val="20"/>
        </w:rPr>
        <w:commentReference w:id="39"/>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C967DF">
      <w:headerReference w:type="default" r:id="rId68"/>
      <w:footerReference w:type="default" r:id="rId69"/>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initials="A">
    <w:p w14:paraId="33E5B772" w14:textId="77777777" w:rsidR="00494882" w:rsidRDefault="00494882">
      <w:pPr>
        <w:pStyle w:val="Textodecomentrio"/>
        <w:rPr>
          <w:rFonts w:hint="eastAsia"/>
        </w:rPr>
      </w:pPr>
      <w:r>
        <w:rPr>
          <w:rStyle w:val="Refdecomentrio"/>
        </w:rPr>
        <w:annotationRef/>
      </w:r>
      <w:r>
        <w:rPr>
          <w:b/>
          <w:bCs/>
          <w:i/>
          <w:iCs/>
          <w:color w:val="000000"/>
        </w:rPr>
        <w:t xml:space="preserve">ORIENTAÇÕES PARA USO DO MODELO – </w:t>
      </w:r>
      <w:r>
        <w:rPr>
          <w:b/>
          <w:bCs/>
          <w:i/>
          <w:iCs/>
          <w:color w:val="FF0000"/>
        </w:rPr>
        <w:t>LEITURA OBRIGATÓRIA</w:t>
      </w:r>
    </w:p>
    <w:p w14:paraId="0EBB5534" w14:textId="77777777" w:rsidR="00494882" w:rsidRDefault="00494882">
      <w:pPr>
        <w:pStyle w:val="Textodecomentrio"/>
        <w:rPr>
          <w:rFonts w:hint="eastAsia"/>
        </w:rPr>
      </w:pPr>
      <w:r>
        <w:rPr>
          <w:b/>
          <w:bCs/>
          <w:i/>
          <w:iCs/>
          <w:color w:val="000000"/>
        </w:rPr>
        <w:t>1)</w:t>
      </w:r>
      <w:r>
        <w:rPr>
          <w:i/>
          <w:iCs/>
          <w:color w:val="000000"/>
        </w:rPr>
        <w:tab/>
        <w:t xml:space="preserve">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43C055A0" w14:textId="77777777" w:rsidR="00494882" w:rsidRDefault="00494882">
      <w:pPr>
        <w:pStyle w:val="Textodecomentrio"/>
        <w:rPr>
          <w:rFonts w:hint="eastAsia"/>
        </w:rPr>
      </w:pPr>
      <w:r>
        <w:rPr>
          <w:b/>
          <w:bCs/>
          <w:i/>
          <w:iCs/>
          <w:color w:val="000000"/>
        </w:rPr>
        <w:t>2)</w:t>
      </w:r>
      <w:r>
        <w:rPr>
          <w:i/>
          <w:iCs/>
          <w:color w:val="000000"/>
        </w:rPr>
        <w:tab/>
        <w:t xml:space="preserve">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4A1BBA2" w14:textId="77777777" w:rsidR="00494882" w:rsidRDefault="00494882">
      <w:pPr>
        <w:pStyle w:val="Textodecomentrio"/>
        <w:rPr>
          <w:rFonts w:hint="eastAsia"/>
        </w:rPr>
      </w:pPr>
      <w:r>
        <w:rPr>
          <w:b/>
          <w:bCs/>
          <w:i/>
          <w:iCs/>
          <w:color w:val="000000"/>
        </w:rPr>
        <w:t>3)</w:t>
      </w:r>
      <w:r>
        <w:rPr>
          <w:i/>
          <w:iCs/>
          <w:color w:val="000000"/>
        </w:rPr>
        <w:tab/>
      </w:r>
      <w:r>
        <w:rPr>
          <w:b/>
          <w:bCs/>
          <w:i/>
          <w:iCs/>
          <w:color w:val="00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0BA80DE5" w14:textId="77777777" w:rsidR="00494882" w:rsidRDefault="00494882">
      <w:pPr>
        <w:pStyle w:val="Textodecomentrio"/>
        <w:rPr>
          <w:rFonts w:hint="eastAsia"/>
        </w:rPr>
      </w:pPr>
      <w:r>
        <w:rPr>
          <w:b/>
          <w:bCs/>
          <w:i/>
          <w:iCs/>
          <w:color w:val="000000"/>
        </w:rPr>
        <w:t>4)</w:t>
      </w:r>
      <w:r>
        <w:rPr>
          <w:i/>
          <w:iCs/>
          <w:color w:val="000000"/>
        </w:rPr>
        <w:tab/>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4929CE14" w14:textId="77777777" w:rsidR="00494882" w:rsidRDefault="00494882">
      <w:pPr>
        <w:pStyle w:val="Textodecomentrio"/>
        <w:rPr>
          <w:rFonts w:hint="eastAsia"/>
        </w:rPr>
      </w:pPr>
      <w:r>
        <w:rPr>
          <w:b/>
          <w:bCs/>
          <w:i/>
          <w:iCs/>
          <w:color w:val="000000"/>
        </w:rPr>
        <w:t>5)</w:t>
      </w:r>
      <w:r>
        <w:rPr>
          <w:i/>
          <w:iCs/>
          <w:color w:val="000000"/>
        </w:rPr>
        <w:tab/>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63D39E78" w14:textId="77777777" w:rsidR="00494882" w:rsidRDefault="00494882">
      <w:pPr>
        <w:pStyle w:val="Textodecomentrio"/>
        <w:rPr>
          <w:rFonts w:hint="eastAsia"/>
        </w:rPr>
      </w:pPr>
      <w:r>
        <w:rPr>
          <w:b/>
          <w:bCs/>
          <w:i/>
          <w:iCs/>
          <w:color w:val="000000"/>
        </w:rPr>
        <w:t>6)</w:t>
      </w:r>
      <w:r>
        <w:rPr>
          <w:i/>
          <w:iCs/>
          <w:color w:val="000000"/>
        </w:rPr>
        <w:tab/>
        <w:t>O registro das atualizações feitas (“Nota de Atualização”) em cada versão pode ser obtido na página principal dos modelos de licitações e contratos no sítio eletrônico da AGU. Quaisquer sugestões de alteração poderão ser encaminhadas ao e-mail: cgu.modeloscontratacao@agu.gov.br.</w:t>
      </w:r>
    </w:p>
    <w:p w14:paraId="7C923520" w14:textId="77777777" w:rsidR="00494882" w:rsidRDefault="00494882" w:rsidP="00DD7A04">
      <w:pPr>
        <w:pStyle w:val="Textodecomentrio"/>
        <w:rPr>
          <w:rFonts w:hint="eastAsia"/>
        </w:rPr>
      </w:pPr>
      <w:r>
        <w:rPr>
          <w:b/>
          <w:bCs/>
          <w:i/>
          <w:iCs/>
          <w:color w:val="000000"/>
        </w:rPr>
        <w:t>7)</w:t>
      </w:r>
      <w:r>
        <w:rPr>
          <w:i/>
          <w:iCs/>
          <w:color w:val="000000"/>
        </w:rPr>
        <w:tab/>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initials="A">
    <w:p w14:paraId="7F4EE46D" w14:textId="77777777" w:rsidR="00D024E8" w:rsidRDefault="00D024E8" w:rsidP="00D024E8">
      <w:pPr>
        <w:pStyle w:val="Textodecomentrio"/>
        <w:rPr>
          <w:rFonts w:hint="eastAsia"/>
        </w:rPr>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Pr>
            <w:rStyle w:val="Hyperlink"/>
            <w:i/>
            <w:iCs/>
          </w:rPr>
          <w:t>art. 61 da Lei nº 8.666, de 1993</w:t>
        </w:r>
      </w:hyperlink>
      <w:r>
        <w:rPr>
          <w:i/>
          <w:iCs/>
          <w:color w:val="000000"/>
        </w:rPr>
        <w:t xml:space="preserve">, e o </w:t>
      </w:r>
      <w:hyperlink r:id="rId2" w:anchor="art89§1" w:history="1">
        <w:r>
          <w:rPr>
            <w:rStyle w:val="Hyperlink"/>
            <w:i/>
            <w:iCs/>
          </w:rPr>
          <w:t>§1º do art. 89 da Lei nº 14.133, de 1º de abril de 2021</w:t>
        </w:r>
      </w:hyperlink>
      <w:r>
        <w:rPr>
          <w:i/>
          <w:iCs/>
          <w:color w:val="000000"/>
        </w:rPr>
        <w:t>, exigem apenas esse dado”.</w:t>
      </w:r>
    </w:p>
  </w:comment>
  <w:comment w:id="3" w:author="Autor" w:initials="A">
    <w:p w14:paraId="210AE90C" w14:textId="0A652459" w:rsidR="00494882" w:rsidRDefault="00494882" w:rsidP="00DD7A04">
      <w:pPr>
        <w:pStyle w:val="Textodecomentrio"/>
        <w:rPr>
          <w:rFonts w:hint="eastAsia"/>
        </w:rPr>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3" w:anchor="art61" w:history="1">
        <w:r w:rsidRPr="002C1F3F">
          <w:rPr>
            <w:rStyle w:val="Hyperlink"/>
            <w:i/>
            <w:iCs/>
          </w:rPr>
          <w:t>art. 61 da Lei nº 8.666, de 1993</w:t>
        </w:r>
      </w:hyperlink>
      <w:r>
        <w:rPr>
          <w:i/>
          <w:iCs/>
          <w:color w:val="000000"/>
        </w:rPr>
        <w:t xml:space="preserve">, e o </w:t>
      </w:r>
      <w:hyperlink r:id="rId4" w:anchor="art89§1" w:history="1">
        <w:r w:rsidRPr="002C1F3F">
          <w:rPr>
            <w:rStyle w:val="Hyperlink"/>
            <w:i/>
            <w:iCs/>
          </w:rPr>
          <w:t>§1º do art. 89 da Lei nº 14.133, de 1º de abril de 2021</w:t>
        </w:r>
      </w:hyperlink>
      <w:r>
        <w:rPr>
          <w:i/>
          <w:iCs/>
          <w:color w:val="000000"/>
        </w:rPr>
        <w:t>, exigem apenas esse dado”.</w:t>
      </w:r>
    </w:p>
  </w:comment>
  <w:comment w:id="4" w:author="Autor" w:initials="A">
    <w:p w14:paraId="354ABD29" w14:textId="77777777" w:rsidR="004D7421" w:rsidRDefault="00494882">
      <w:pPr>
        <w:pStyle w:val="Textodecomentrio"/>
        <w:rPr>
          <w:rFonts w:hint="eastAsia"/>
        </w:rPr>
      </w:pPr>
      <w:r>
        <w:rPr>
          <w:rStyle w:val="Refdecomentrio"/>
        </w:rPr>
        <w:annotationRef/>
      </w:r>
      <w:r w:rsidR="004D7421">
        <w:rPr>
          <w:b/>
          <w:bCs/>
          <w:i/>
          <w:iCs/>
          <w:color w:val="000000"/>
        </w:rPr>
        <w:t>Nota Explicativa 1:</w:t>
      </w:r>
      <w:r w:rsidR="004D7421">
        <w:rPr>
          <w:i/>
          <w:iCs/>
          <w:color w:val="000000"/>
        </w:rPr>
        <w:t xml:space="preserve"> </w:t>
      </w:r>
      <w:r w:rsidR="004D7421">
        <w:rPr>
          <w:i/>
          <w:iCs/>
        </w:rPr>
        <w:t xml:space="preserve"> Utilizar a redação do item 2.3 e seguintes para </w:t>
      </w:r>
      <w:r w:rsidR="004D7421">
        <w:rPr>
          <w:b/>
          <w:bCs/>
          <w:i/>
          <w:iCs/>
        </w:rPr>
        <w:t>contratações de serviços contínuos</w:t>
      </w:r>
      <w:r w:rsidR="004D7421">
        <w:rPr>
          <w:i/>
          <w:iCs/>
        </w:rPr>
        <w:t xml:space="preserve">, conforme </w:t>
      </w:r>
      <w:hyperlink r:id="rId5" w:anchor="art106" w:history="1">
        <w:r w:rsidR="004D7421" w:rsidRPr="00C604DD">
          <w:rPr>
            <w:rStyle w:val="Hyperlink"/>
            <w:i/>
            <w:iCs/>
          </w:rPr>
          <w:t>arts. 106 e 107 da Lei n.º 14.133, de 2021</w:t>
        </w:r>
      </w:hyperlink>
      <w:r w:rsidR="004D7421">
        <w:rPr>
          <w:i/>
          <w:iCs/>
        </w:rPr>
        <w:t xml:space="preserve">, considerando a definição do </w:t>
      </w:r>
      <w:hyperlink r:id="rId6" w:anchor="art6" w:history="1">
        <w:r w:rsidR="004D7421" w:rsidRPr="00C604DD">
          <w:rPr>
            <w:rStyle w:val="Hyperlink"/>
            <w:i/>
            <w:iCs/>
          </w:rPr>
          <w:t>art. 6º, XV</w:t>
        </w:r>
      </w:hyperlink>
      <w:r w:rsidR="004D7421">
        <w:rPr>
          <w:i/>
          <w:iCs/>
        </w:rPr>
        <w:t>, do mesmo normativo</w:t>
      </w:r>
      <w:r w:rsidR="004D7421">
        <w:rPr>
          <w:i/>
          <w:iCs/>
          <w:color w:val="000000"/>
        </w:rPr>
        <w:t>.</w:t>
      </w:r>
    </w:p>
    <w:p w14:paraId="0F47A9FD" w14:textId="77777777" w:rsidR="004D7421" w:rsidRDefault="004D7421">
      <w:pPr>
        <w:pStyle w:val="Textodecomentrio"/>
        <w:rPr>
          <w:rFonts w:hint="eastAsia"/>
        </w:rPr>
      </w:pPr>
    </w:p>
    <w:p w14:paraId="4B50FC17" w14:textId="77777777" w:rsidR="004D7421" w:rsidRDefault="004D7421">
      <w:pPr>
        <w:pStyle w:val="Textodecomentrio"/>
        <w:rPr>
          <w:rFonts w:hint="eastAsia"/>
        </w:rPr>
      </w:pPr>
      <w:r>
        <w:rPr>
          <w:b/>
          <w:bCs/>
          <w:i/>
          <w:iCs/>
        </w:rPr>
        <w:t xml:space="preserve">Nota Explicativa 2: </w:t>
      </w:r>
      <w:r>
        <w:rPr>
          <w:i/>
          <w:iCs/>
        </w:rPr>
        <w:t>Indicar o prazo</w:t>
      </w:r>
      <w:r>
        <w:rPr>
          <w:b/>
          <w:bCs/>
          <w:i/>
          <w:iCs/>
        </w:rPr>
        <w:t xml:space="preserve"> </w:t>
      </w:r>
      <w:r>
        <w:rPr>
          <w:i/>
          <w:iCs/>
        </w:rPr>
        <w:t>inicial da contratação, que deverá ser de no máximo 5 (cinco) anos.</w:t>
      </w:r>
    </w:p>
    <w:p w14:paraId="7CE3EC7F" w14:textId="77777777" w:rsidR="004D7421" w:rsidRDefault="004D7421">
      <w:pPr>
        <w:pStyle w:val="Textodecomentrio"/>
        <w:rPr>
          <w:rFonts w:hint="eastAsia"/>
        </w:rPr>
      </w:pPr>
    </w:p>
    <w:p w14:paraId="0BE8BEFC" w14:textId="77777777" w:rsidR="004D7421" w:rsidRDefault="004D7421" w:rsidP="00C604DD">
      <w:pPr>
        <w:pStyle w:val="Textodecomentrio"/>
        <w:rPr>
          <w:rFonts w:hint="eastAsia"/>
        </w:rPr>
      </w:pPr>
      <w:r>
        <w:rPr>
          <w:b/>
          <w:bCs/>
          <w:i/>
          <w:iCs/>
          <w:highlight w:val="yellow"/>
        </w:rPr>
        <w:t>Nota explicativa 3</w:t>
      </w:r>
      <w:r>
        <w:rPr>
          <w:i/>
          <w:iCs/>
          <w:highlight w:val="yellow"/>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7" w:author="Autor" w:initials="A">
    <w:p w14:paraId="5AAD33CF" w14:textId="77777777" w:rsidR="004512B0" w:rsidRDefault="004512B0" w:rsidP="004512B0">
      <w:pPr>
        <w:pStyle w:val="Textodecomentrio"/>
        <w:rPr>
          <w:rFonts w:hint="eastAsia"/>
        </w:rPr>
      </w:pPr>
      <w:r>
        <w:rPr>
          <w:rStyle w:val="Refdecomentrio"/>
        </w:rPr>
        <w:annotationRef/>
      </w:r>
      <w:r>
        <w:rPr>
          <w:b/>
          <w:bCs/>
          <w:i/>
          <w:iCs/>
          <w:color w:val="000000"/>
        </w:rPr>
        <w:t>Nota Explicativa:</w:t>
      </w:r>
      <w:r>
        <w:rPr>
          <w:i/>
          <w:iCs/>
          <w:color w:val="000000"/>
        </w:rPr>
        <w:t> </w:t>
      </w:r>
      <w:hyperlink r:id="rId7"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41A9813D" w14:textId="77777777" w:rsidR="004512B0" w:rsidRDefault="004512B0" w:rsidP="004512B0">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1ECFD05D" w14:textId="77777777" w:rsidR="004512B0" w:rsidRDefault="004512B0" w:rsidP="004512B0">
      <w:pPr>
        <w:pStyle w:val="Textodecomentrio"/>
        <w:rPr>
          <w:rFonts w:hint="eastAsia"/>
        </w:rPr>
      </w:pPr>
      <w:r>
        <w:rPr>
          <w:i/>
          <w:iCs/>
          <w:color w:val="000000"/>
        </w:rPr>
        <w:t xml:space="preserve">A </w:t>
      </w:r>
      <w:hyperlink r:id="rId8"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2579330A" w14:textId="77777777" w:rsidR="004512B0" w:rsidRDefault="004512B0" w:rsidP="004512B0">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 w:author="Autor" w:initials="A">
    <w:p w14:paraId="0692E270" w14:textId="77777777" w:rsidR="00494882" w:rsidRDefault="00494882" w:rsidP="00DD7A04">
      <w:pPr>
        <w:pStyle w:val="Textodecomentrio"/>
        <w:rPr>
          <w:rFonts w:hint="eastAsia"/>
        </w:rPr>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9" w:author="Autor" w:initials="A">
    <w:p w14:paraId="77572B62" w14:textId="77777777" w:rsidR="00494882" w:rsidRDefault="00494882">
      <w:pPr>
        <w:pStyle w:val="Textodecomentrio"/>
        <w:rPr>
          <w:rFonts w:hint="eastAsia"/>
        </w:rPr>
      </w:pPr>
      <w:r>
        <w:rPr>
          <w:rStyle w:val="Refdecomentrio"/>
        </w:rPr>
        <w:annotationRef/>
      </w:r>
      <w:r>
        <w:rPr>
          <w:b/>
          <w:bCs/>
          <w:i/>
          <w:iCs/>
          <w:color w:val="000000"/>
        </w:rPr>
        <w:t>Nota Explicativa:</w:t>
      </w:r>
      <w:r>
        <w:rPr>
          <w:i/>
          <w:iCs/>
          <w:color w:val="000000"/>
        </w:rPr>
        <w:t> </w:t>
      </w:r>
      <w:hyperlink r:id="rId9"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494882" w:rsidRDefault="00494882">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494882" w:rsidRDefault="00494882">
      <w:pPr>
        <w:pStyle w:val="Textodecomentrio"/>
        <w:rPr>
          <w:rFonts w:hint="eastAsia"/>
        </w:rPr>
      </w:pPr>
      <w:r>
        <w:rPr>
          <w:i/>
          <w:iCs/>
          <w:color w:val="000000"/>
        </w:rPr>
        <w:t xml:space="preserve">A </w:t>
      </w:r>
      <w:hyperlink r:id="rId10"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9C365A2" w14:textId="77777777" w:rsidR="00494882" w:rsidRDefault="00494882" w:rsidP="00DD7A04">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12" w:author="Autor" w:initials="A">
    <w:p w14:paraId="3A92FA21" w14:textId="77777777" w:rsidR="00DA4A7D" w:rsidRDefault="00DA4A7D" w:rsidP="00647691">
      <w:pPr>
        <w:pStyle w:val="Textodecomentrio"/>
        <w:rPr>
          <w:rFonts w:hint="eastAsia"/>
        </w:rPr>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10" w:author="Autor" w:initials="A">
    <w:p w14:paraId="051BF135" w14:textId="766AA323" w:rsidR="00494882" w:rsidRDefault="00494882">
      <w:pPr>
        <w:pStyle w:val="Textodecomentrio"/>
        <w:rPr>
          <w:rFonts w:hint="eastAsia"/>
        </w:rPr>
      </w:pPr>
      <w:r>
        <w:rPr>
          <w:rStyle w:val="Refdecomentrio"/>
        </w:rPr>
        <w:annotationRef/>
      </w:r>
      <w:r>
        <w:rPr>
          <w:b/>
          <w:bCs/>
          <w:i/>
          <w:iCs/>
          <w:color w:val="000000"/>
        </w:rPr>
        <w:t>Nota Explicativa 1</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5BE58C3B" w14:textId="77777777" w:rsidR="00494882" w:rsidRDefault="00494882" w:rsidP="00DD7A04">
      <w:pPr>
        <w:pStyle w:val="Textodecomentrio"/>
        <w:rPr>
          <w:rFonts w:hint="eastAsia"/>
        </w:rPr>
      </w:pPr>
      <w:r>
        <w:rPr>
          <w:b/>
          <w:bCs/>
          <w:i/>
          <w:iCs/>
          <w:color w:val="000000"/>
        </w:rPr>
        <w:t xml:space="preserve">Nota Explicativa 2: </w:t>
      </w:r>
      <w:r>
        <w:rPr>
          <w:i/>
          <w:iCs/>
          <w:color w:val="000000"/>
        </w:rPr>
        <w:t>A Administração poderá, ainda, utilizar índices diferenciados, inclusive mais de um, de forma justificada, de acordo com as peculiaridades envolvidas no objeto contratual (</w:t>
      </w:r>
      <w:hyperlink r:id="rId11" w:anchor="art25§7" w:history="1">
        <w:r w:rsidRPr="0035691B">
          <w:rPr>
            <w:rStyle w:val="Hyperlink"/>
            <w:i/>
            <w:iCs/>
          </w:rPr>
          <w:t>art. 25, § 7º, da Lei n.º 14.133, de 2021</w:t>
        </w:r>
      </w:hyperlink>
      <w:r>
        <w:rPr>
          <w:i/>
          <w:iCs/>
          <w:color w:val="000000"/>
        </w:rPr>
        <w:t xml:space="preserve">). Caso haja a utilização de mais de um índice, deverá a Administração ajustar a redação da cláusula de modo a especificar o insumo respectivo sobre o qual incidirá cada índice de correção. </w:t>
      </w:r>
    </w:p>
  </w:comment>
  <w:comment w:id="13" w:author="Autor" w:initials="A">
    <w:p w14:paraId="079BE262" w14:textId="77777777" w:rsidR="00494882" w:rsidRDefault="00494882" w:rsidP="0023230F">
      <w:pPr>
        <w:pStyle w:val="Textodecomentrio"/>
        <w:rPr>
          <w:rFonts w:hint="eastAsia"/>
        </w:rPr>
      </w:pPr>
      <w:r>
        <w:rPr>
          <w:rStyle w:val="Refdecomentrio"/>
        </w:rPr>
        <w:annotationRef/>
      </w:r>
      <w:r>
        <w:rPr>
          <w:b/>
          <w:bCs/>
          <w:i/>
          <w:iCs/>
          <w:color w:val="000000"/>
          <w:highlight w:val="yellow"/>
        </w:rPr>
        <w:t>Nota Explicativa:</w:t>
      </w:r>
      <w:r>
        <w:rPr>
          <w:i/>
          <w:iCs/>
          <w:color w:val="000000"/>
          <w:highlight w:val="yellow"/>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highlight w:val="yellow"/>
        </w:rPr>
        <w:br/>
      </w:r>
    </w:p>
  </w:comment>
  <w:comment w:id="14" w:author="Autor" w:initials="A">
    <w:p w14:paraId="094FDE1C" w14:textId="5FFCA572" w:rsidR="00494882" w:rsidRDefault="00494882" w:rsidP="00DD7A04">
      <w:pPr>
        <w:pStyle w:val="Textodecomentrio"/>
        <w:rPr>
          <w:rFonts w:hint="eastAsia"/>
        </w:rPr>
      </w:pPr>
      <w:r>
        <w:rPr>
          <w:rStyle w:val="Refdecomentrio"/>
        </w:rPr>
        <w:annotationRef/>
      </w:r>
      <w:r>
        <w:rPr>
          <w:b/>
          <w:bCs/>
          <w:i/>
          <w:iCs/>
          <w:color w:val="000000"/>
        </w:rPr>
        <w:t xml:space="preserve">Nota Explicativa: </w:t>
      </w:r>
      <w:r>
        <w:rPr>
          <w:i/>
          <w:iCs/>
          <w:color w:val="000000"/>
        </w:rPr>
        <w:t xml:space="preserve">Nos termos do </w:t>
      </w:r>
      <w:hyperlink r:id="rId12"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13" w:anchor="art123" w:history="1">
        <w:r w:rsidRPr="00681179">
          <w:rPr>
            <w:rStyle w:val="Hyperlink"/>
            <w:i/>
            <w:iCs/>
          </w:rPr>
          <w:t>art. 123, parágrafo único, da Lei n.º 14.133, de 2021</w:t>
        </w:r>
      </w:hyperlink>
      <w:r>
        <w:rPr>
          <w:i/>
          <w:iCs/>
          <w:color w:val="000000"/>
        </w:rPr>
        <w:t xml:space="preserve">, e o </w:t>
      </w:r>
      <w:hyperlink r:id="rId14" w:anchor="art28" w:history="1">
        <w:r w:rsidRPr="00681179">
          <w:rPr>
            <w:rStyle w:val="Hyperlink"/>
            <w:i/>
            <w:iCs/>
          </w:rPr>
          <w:t>art. 28, do Decreto n.º 11.246, de 2022</w:t>
        </w:r>
      </w:hyperlink>
      <w:r>
        <w:rPr>
          <w:i/>
          <w:iCs/>
          <w:color w:val="000000"/>
        </w:rPr>
        <w:t>, estabelecem que o prazo será de um mês.</w:t>
      </w:r>
    </w:p>
  </w:comment>
  <w:comment w:id="15" w:author="Autor" w:initials="A">
    <w:p w14:paraId="45CB4C99" w14:textId="77777777" w:rsidR="00CD4F99" w:rsidRDefault="00494882" w:rsidP="000F6412">
      <w:pPr>
        <w:pStyle w:val="Textodecomentrio"/>
        <w:rPr>
          <w:rFonts w:hint="eastAsia"/>
        </w:rPr>
      </w:pPr>
      <w:r>
        <w:rPr>
          <w:rStyle w:val="Refdecomentrio"/>
        </w:rPr>
        <w:annotationRef/>
      </w:r>
      <w:r w:rsidR="00CD4F99">
        <w:rPr>
          <w:b/>
          <w:bCs/>
          <w:i/>
          <w:iCs/>
        </w:rPr>
        <w:t>Nota Explicativa:</w:t>
      </w:r>
      <w:r w:rsidR="00CD4F99">
        <w:rPr>
          <w:i/>
          <w:iCs/>
        </w:rPr>
        <w:t xml:space="preserve"> O </w:t>
      </w:r>
      <w:hyperlink r:id="rId15" w:anchor="art92" w:history="1">
        <w:r w:rsidR="00CD4F99" w:rsidRPr="000F6412">
          <w:rPr>
            <w:rStyle w:val="Hyperlink"/>
            <w:i/>
            <w:iCs/>
          </w:rPr>
          <w:t>art. 92, inciso XI, da Lei nº 14.133, de 2021</w:t>
        </w:r>
      </w:hyperlink>
      <w:r w:rsidR="00CD4F99">
        <w:rPr>
          <w:i/>
          <w:iC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16" w:anchor="art123" w:history="1">
        <w:r w:rsidR="00CD4F99" w:rsidRPr="000F6412">
          <w:rPr>
            <w:rStyle w:val="Hyperlink"/>
            <w:i/>
            <w:iCs/>
          </w:rPr>
          <w:t>art. 123 do texto legal</w:t>
        </w:r>
      </w:hyperlink>
      <w:r w:rsidR="00CD4F99">
        <w:rPr>
          <w:i/>
          <w:iCs/>
        </w:rPr>
        <w:t>, o que deverá ser analisado conforme as especificidades de cada órgão.</w:t>
      </w:r>
    </w:p>
  </w:comment>
  <w:comment w:id="17" w:author="Autor" w:initials="A">
    <w:p w14:paraId="53AEC34B" w14:textId="77777777" w:rsidR="00494882" w:rsidRDefault="00494882" w:rsidP="00DD7A04">
      <w:pPr>
        <w:pStyle w:val="Textodecomentrio"/>
        <w:rPr>
          <w:rFonts w:hint="eastAsia"/>
        </w:rPr>
      </w:pPr>
      <w:r>
        <w:rPr>
          <w:rStyle w:val="Refdecomentrio"/>
        </w:rPr>
        <w:annotationRef/>
      </w:r>
      <w:r>
        <w:rPr>
          <w:b/>
          <w:bCs/>
          <w:i/>
          <w:iCs/>
          <w:color w:val="000000"/>
        </w:rPr>
        <w:t>Nota Explicativa 1:</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Nota Explicativa 2:</w:t>
      </w:r>
      <w:r>
        <w:rPr>
          <w:i/>
          <w:iCs/>
        </w:rPr>
        <w:t xml:space="preserve"> No caso de órgãos ou entidades públicas vinculados ao Ministério da Economia, considerada a edição da </w:t>
      </w:r>
      <w:hyperlink r:id="rId17"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8"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9" w:anchor="art2" w:history="1">
        <w:r w:rsidRPr="00677285">
          <w:rPr>
            <w:rStyle w:val="Hyperlink"/>
            <w:i/>
            <w:iCs/>
          </w:rPr>
          <w:t>inciso II do artigo 2° daquele normativo.”</w:t>
        </w:r>
      </w:hyperlink>
    </w:p>
  </w:comment>
  <w:comment w:id="18" w:author="Autor" w:initials="A">
    <w:p w14:paraId="1D249DED" w14:textId="0DF6B732" w:rsidR="00494882" w:rsidRDefault="00494882" w:rsidP="00DD7A04">
      <w:pPr>
        <w:pStyle w:val="Textodecomentrio"/>
        <w:rPr>
          <w:rFonts w:hint="eastAsia"/>
        </w:rPr>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9" w:author="Autor" w:initials="A">
    <w:p w14:paraId="3E1C78F4" w14:textId="77777777" w:rsidR="00494882" w:rsidRDefault="00494882">
      <w:pPr>
        <w:pStyle w:val="Textodecomentrio"/>
        <w:rPr>
          <w:rFonts w:hint="eastAsia"/>
        </w:rPr>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494882" w:rsidRDefault="00494882">
      <w:pPr>
        <w:pStyle w:val="Textodecomentrio"/>
        <w:rPr>
          <w:rFonts w:hint="eastAsia"/>
        </w:rPr>
      </w:pPr>
      <w:r>
        <w:rPr>
          <w:i/>
          <w:iCs/>
          <w:color w:val="000000"/>
        </w:rPr>
        <w:t xml:space="preserve">Via de regra, a prestação de serviços de modo geral é hipótese de incidência de tributação municipal (Imposto Sobre Serviços de Qualquer Natureza - ISSQN), conforme lista anexa </w:t>
      </w:r>
      <w:hyperlink r:id="rId20" w:history="1">
        <w:r w:rsidRPr="00500559">
          <w:rPr>
            <w:rStyle w:val="Hyperlink"/>
            <w:i/>
            <w:iCs/>
          </w:rPr>
          <w:t>à Lei Complementar nº 116/2003</w:t>
        </w:r>
      </w:hyperlink>
      <w:r>
        <w:rPr>
          <w:i/>
          <w:iCs/>
          <w:color w:val="000000"/>
        </w:rPr>
        <w:t xml:space="preserve">.  </w:t>
      </w:r>
    </w:p>
    <w:p w14:paraId="245AE225" w14:textId="77777777" w:rsidR="00494882" w:rsidRDefault="00494882" w:rsidP="00DD7A04">
      <w:pPr>
        <w:pStyle w:val="Textodecomentrio"/>
        <w:rPr>
          <w:rFonts w:hint="eastAsia"/>
        </w:rPr>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21"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0" w:author="Autor" w:initials="A">
    <w:p w14:paraId="0CCAD5C2" w14:textId="77777777" w:rsidR="00A90448" w:rsidRDefault="00494882">
      <w:pPr>
        <w:pStyle w:val="Textodecomentrio"/>
        <w:rPr>
          <w:rFonts w:hint="eastAsia"/>
        </w:rPr>
      </w:pPr>
      <w:r w:rsidRPr="007A16F9">
        <w:rPr>
          <w:rStyle w:val="Refdecomentrio"/>
          <w:i/>
        </w:rPr>
        <w:annotationRef/>
      </w:r>
      <w:r w:rsidR="00A90448">
        <w:rPr>
          <w:b/>
          <w:bCs/>
          <w:i/>
          <w:iCs/>
          <w:highlight w:val="yellow"/>
        </w:rPr>
        <w:t>Nota Explicativa 1:</w:t>
      </w:r>
      <w:r w:rsidR="00A90448">
        <w:rPr>
          <w:highlight w:val="yellow"/>
        </w:rPr>
        <w:t xml:space="preserve"> </w:t>
      </w:r>
      <w:r w:rsidR="00A90448">
        <w:rPr>
          <w:i/>
          <w:iCs/>
          <w:highlight w:val="yellow"/>
        </w:rPr>
        <w:t>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14:paraId="5C773DBB" w14:textId="77777777" w:rsidR="00A90448" w:rsidRDefault="00A90448">
      <w:pPr>
        <w:pStyle w:val="Textodecomentrio"/>
        <w:rPr>
          <w:rFonts w:hint="eastAsia"/>
        </w:rPr>
      </w:pPr>
      <w:r>
        <w:rPr>
          <w:b/>
          <w:bCs/>
          <w:i/>
          <w:iCs/>
          <w:highlight w:val="yellow"/>
        </w:rPr>
        <w:t>Nota explicativa 2:</w:t>
      </w:r>
      <w:r>
        <w:rPr>
          <w:i/>
          <w:iCs/>
          <w:highlight w:val="yellow"/>
        </w:rPr>
        <w:t xml:space="preserve"> Quando o adjudicatário optar pela oferta de seguro-garantia, deverá fazê-lo previamente à assinatura do contrato, conforme prazo fixado no edital (no prazo mínimo de um mês), contado da data de homologação da licitação (art. 96, §3º, da Lei n.º 14.133/2021).</w:t>
      </w:r>
    </w:p>
    <w:p w14:paraId="658808FF" w14:textId="77777777" w:rsidR="00A90448" w:rsidRDefault="00A90448">
      <w:pPr>
        <w:pStyle w:val="Textodecomentrio"/>
        <w:rPr>
          <w:rFonts w:hint="eastAsia"/>
        </w:rPr>
      </w:pPr>
      <w:r>
        <w:rPr>
          <w:b/>
          <w:bCs/>
          <w:i/>
          <w:iCs/>
          <w:color w:val="000000"/>
        </w:rPr>
        <w:t>Nota explicativa 3:</w:t>
      </w:r>
      <w:r>
        <w:rPr>
          <w:i/>
          <w:iCs/>
          <w:color w:val="000000"/>
        </w:rPr>
        <w:t xml:space="preserve"> Nos casos de serviços contínuos com duração até um ano, a garantia será calculada com base no valor total do contrato. Se de duração superior a um ano, o será com base no valor anual. Nos demais casos (serviços não-contínuos), o será com base no valor inicial. </w:t>
      </w:r>
    </w:p>
    <w:p w14:paraId="2ECE0537" w14:textId="77777777" w:rsidR="00A90448" w:rsidRDefault="00A90448">
      <w:pPr>
        <w:pStyle w:val="Textodecomentrio"/>
        <w:rPr>
          <w:rFonts w:hint="eastAsia"/>
        </w:rPr>
      </w:pPr>
      <w:r>
        <w:rPr>
          <w:b/>
          <w:bCs/>
          <w:i/>
          <w:iCs/>
          <w:color w:val="000000"/>
        </w:rPr>
        <w:t>Nota Explicativa 4</w:t>
      </w:r>
      <w:r>
        <w:rPr>
          <w:i/>
          <w:iCs/>
          <w:color w:val="000000"/>
        </w:rPr>
        <w:t xml:space="preserve">: Atentar que, segundo o </w:t>
      </w:r>
      <w:hyperlink r:id="rId22" w:anchor="art98" w:history="1">
        <w:r w:rsidRPr="002E1FDD">
          <w:rPr>
            <w:rStyle w:val="Hyperlink"/>
            <w:i/>
            <w:iCs/>
          </w:rPr>
          <w:t>art. 98, da Lei n.º 14.133, de 2021</w:t>
        </w:r>
      </w:hyperlink>
      <w:r>
        <w:rPr>
          <w:i/>
          <w:iCs/>
          <w:color w:val="000000"/>
        </w:rPr>
        <w:t xml:space="preserve">, a garantia poderá ser de até 5% (cinco por cento) do valor inicial do contrato, autorizada a majoração desse percentual para até 10% (dez por cento), desde que justificada mediante análise da complexidade técnica e dos riscos envolvidos. </w:t>
      </w:r>
    </w:p>
    <w:p w14:paraId="52430E64" w14:textId="77777777" w:rsidR="00A90448" w:rsidRDefault="00A90448" w:rsidP="002E1FDD">
      <w:pPr>
        <w:pStyle w:val="Textodecomentrio"/>
        <w:rPr>
          <w:rFonts w:hint="eastAsia"/>
        </w:rPr>
      </w:pPr>
      <w:r>
        <w:rPr>
          <w:b/>
          <w:bCs/>
          <w:i/>
          <w:iCs/>
          <w:color w:val="000000"/>
        </w:rPr>
        <w:t>Nota explicativa 5</w:t>
      </w:r>
      <w:r>
        <w:rPr>
          <w:i/>
          <w:iCs/>
          <w:color w:val="000000"/>
        </w:rPr>
        <w:t>: Nos casos de contratos que impliquem a entrega de bens pela Administração (art. 101 da Lei n.º 14.133, de 2021), dos quais o contratado ficará depositário, deverá haver nos autos certificação do valor dos bens, e ser utilizada a opção dos itens 11.3 ou 11.5:</w:t>
      </w:r>
    </w:p>
  </w:comment>
  <w:comment w:id="21" w:author="Autor" w:initials="A">
    <w:p w14:paraId="7AC98292" w14:textId="25C70814" w:rsidR="00494882" w:rsidRDefault="00494882" w:rsidP="00485F60">
      <w:pPr>
        <w:spacing w:afterLines="120" w:after="288" w:line="312" w:lineRule="auto"/>
        <w:rPr>
          <w:rFonts w:hint="eastAsia"/>
        </w:rPr>
      </w:pPr>
      <w:r w:rsidRPr="00485F60">
        <w:rPr>
          <w:rStyle w:val="Refdecomentrio"/>
          <w:highlight w:val="yellow"/>
        </w:rPr>
        <w:annotationRef/>
      </w:r>
      <w:r w:rsidRPr="00485F60">
        <w:rPr>
          <w:b/>
          <w:bCs/>
          <w:i/>
          <w:highlight w:val="yellow"/>
        </w:rPr>
        <w:t xml:space="preserve">Nota Explicativa: </w:t>
      </w:r>
      <w:r w:rsidRPr="00485F60">
        <w:rPr>
          <w:i/>
          <w:highlight w:val="yellow"/>
        </w:rPr>
        <w:t xml:space="preserve">Caso o adjudicatário não opte pela oferta de seguro-garantia, poderá ofertar a fiança bancária, a caução em dinheiro ou em títulos da dívida pública antes ou depois da assinatura do termo de contrato. Na segunda hipótese, deverão ser incluídos os subitens a seguir, com fundamento no item 3.1, alíneas “a”, “e”, e “f”, do Anexo VII-F, da Instrução Normativa SEGES/MP n.º 05/2017, aplicáveis por força da Instrução Normativa SEGES/ME n.º 98/2022. </w:t>
      </w:r>
      <w:r w:rsidRPr="00485F60">
        <w:rPr>
          <w:i/>
          <w:highlight w:val="yellow"/>
        </w:rPr>
        <w:annotationRef/>
      </w:r>
    </w:p>
  </w:comment>
  <w:comment w:id="22" w:author="Autor" w:initials="A">
    <w:p w14:paraId="6CC4C43E" w14:textId="77777777" w:rsidR="00494882" w:rsidRDefault="00494882" w:rsidP="0289FA5E">
      <w:pPr>
        <w:rPr>
          <w:rFonts w:hint="eastAsia"/>
        </w:rPr>
      </w:pPr>
      <w:r w:rsidRPr="0289FA5E">
        <w:rPr>
          <w:b/>
          <w:bCs/>
          <w:i/>
          <w:iCs/>
          <w:color w:val="000000" w:themeColor="text1"/>
        </w:rPr>
        <w:t>Nota explicativa 1:</w:t>
      </w:r>
      <w:r w:rsidRPr="0289FA5E">
        <w:rPr>
          <w:i/>
          <w:iCs/>
          <w:color w:val="000000" w:themeColor="text1"/>
        </w:rPr>
        <w:t xml:space="preserve"> O </w:t>
      </w:r>
      <w:hyperlink r:id="rId23" w:anchor="art97">
        <w:r w:rsidRPr="0289FA5E">
          <w:rPr>
            <w:rStyle w:val="Hyperlink"/>
            <w:i/>
            <w:iCs/>
          </w:rPr>
          <w:t>art. 97, I, da Lei nº 14.133/21</w:t>
        </w:r>
      </w:hyperlink>
      <w:r w:rsidRPr="0289FA5E">
        <w:rPr>
          <w:i/>
          <w:iCs/>
          <w:color w:val="000000" w:themeColor="text1"/>
        </w:rPr>
        <w:t xml:space="preserve">, somente prevê prazo de vigência “igual ou superior ao estabelecido no contrato principal” para a modalidade de seguro-garantia, o que se alinha à exceção prevista no </w:t>
      </w:r>
      <w:hyperlink r:id="rId24" w:anchor="art7">
        <w:r w:rsidRPr="0289FA5E">
          <w:rPr>
            <w:rStyle w:val="Hyperlink"/>
            <w:i/>
            <w:iCs/>
          </w:rPr>
          <w:t>art. 7º, caput, da Circular SUSEP n° 662, de 11 de abril de 2022</w:t>
        </w:r>
      </w:hyperlink>
      <w:r w:rsidRPr="0289FA5E">
        <w:rPr>
          <w:i/>
          <w:iCs/>
          <w:color w:val="000000" w:themeColor="text1"/>
        </w:rPr>
        <w:t>,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r>
        <w:annotationRef/>
      </w:r>
    </w:p>
    <w:p w14:paraId="6AC98D99" w14:textId="77777777" w:rsidR="00494882" w:rsidRDefault="00494882" w:rsidP="0289FA5E">
      <w:pPr>
        <w:rPr>
          <w:rFonts w:hint="eastAsia"/>
        </w:rPr>
      </w:pPr>
    </w:p>
  </w:comment>
  <w:comment w:id="26" w:author="Autor" w:initials="A">
    <w:p w14:paraId="55752350" w14:textId="77777777" w:rsidR="00494882" w:rsidRDefault="00494882" w:rsidP="00DD7A04">
      <w:pPr>
        <w:pStyle w:val="Textodecomentrio"/>
        <w:rPr>
          <w:rFonts w:hint="eastAsia"/>
        </w:rPr>
      </w:pPr>
      <w:r>
        <w:rPr>
          <w:rStyle w:val="Refdecomentrio"/>
        </w:rPr>
        <w:annotationRef/>
      </w:r>
      <w:r>
        <w:rPr>
          <w:b/>
          <w:bCs/>
          <w:i/>
          <w:iCs/>
          <w:color w:val="000000"/>
        </w:rPr>
        <w:t xml:space="preserve">Nota Explicativa: </w:t>
      </w:r>
      <w:r>
        <w:rPr>
          <w:i/>
          <w:iCs/>
          <w:color w:val="000000"/>
        </w:rPr>
        <w:t xml:space="preserve">Disposição decorrente do </w:t>
      </w:r>
      <w:hyperlink r:id="rId25" w:anchor=":~:text=DECRETO%2DLEI%20N%C2%BA%201.737%2C%20DE%2020%20DE%20DEZEMBRO%20DE%201979.&amp;text=Disciplina%20os%20dep%C3%B3sitos%20de%20interesse,que%20lhe%20confere%20o%20art." w:history="1">
        <w:r w:rsidRPr="00CB539C">
          <w:rPr>
            <w:rStyle w:val="Hyperlink"/>
            <w:i/>
            <w:iCs/>
          </w:rPr>
          <w:t>art. 1º, IV, do Decreto-Lei nº 1.737, de 1979</w:t>
        </w:r>
      </w:hyperlink>
      <w:r>
        <w:rPr>
          <w:i/>
          <w:iCs/>
          <w:color w:val="000000"/>
        </w:rPr>
        <w:t>.</w:t>
      </w:r>
    </w:p>
  </w:comment>
  <w:comment w:id="28" w:author="Autor" w:initials="A">
    <w:p w14:paraId="4AD608DE" w14:textId="77777777" w:rsidR="00494882" w:rsidRDefault="00494882" w:rsidP="0023230F">
      <w:pPr>
        <w:pStyle w:val="Textodecomentrio"/>
        <w:rPr>
          <w:rFonts w:hint="eastAsia"/>
        </w:rPr>
      </w:pPr>
      <w:r>
        <w:rPr>
          <w:rStyle w:val="Refdecomentrio"/>
        </w:rPr>
        <w:annotationRef/>
      </w:r>
      <w:r>
        <w:rPr>
          <w:b/>
          <w:bCs/>
          <w:i/>
          <w:iCs/>
          <w:color w:val="000000"/>
        </w:rPr>
        <w:t>Nota Explicativa</w:t>
      </w:r>
      <w:r>
        <w:rPr>
          <w:i/>
          <w:iCs/>
          <w:color w:val="000000"/>
        </w:rPr>
        <w:t xml:space="preserve">: </w:t>
      </w:r>
      <w:hyperlink r:id="rId26"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7" w:anchor="art155" w:history="1">
        <w:r w:rsidRPr="00851A45">
          <w:rPr>
            <w:rStyle w:val="Hyperlink"/>
            <w:i/>
            <w:iCs/>
          </w:rPr>
          <w:t>art. 155 desta Lei</w:t>
        </w:r>
      </w:hyperlink>
      <w:r>
        <w:rPr>
          <w:i/>
          <w:iCs/>
          <w:color w:val="000000"/>
        </w:rPr>
        <w:t xml:space="preserve">”. </w:t>
      </w:r>
    </w:p>
  </w:comment>
  <w:comment w:id="29" w:author="Autor" w:initials="A">
    <w:p w14:paraId="71946BAF" w14:textId="1F3E9408" w:rsidR="00494882" w:rsidRDefault="00494882" w:rsidP="0023230F">
      <w:pPr>
        <w:pStyle w:val="Textodecomentrio"/>
        <w:rPr>
          <w:rFonts w:hint="eastAsia"/>
        </w:rPr>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32" w:author="Autor" w:initials="A">
    <w:p w14:paraId="3F4554A4" w14:textId="77777777" w:rsidR="00494882" w:rsidRDefault="00494882" w:rsidP="001F22BA">
      <w:pPr>
        <w:pStyle w:val="Textodecomentrio"/>
        <w:rPr>
          <w:rFonts w:hint="eastAsia"/>
        </w:rPr>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30" w:author="Autor" w:initials="A">
    <w:p w14:paraId="0F26CE22" w14:textId="77777777" w:rsidR="00494882" w:rsidRDefault="00494882" w:rsidP="001F22BA">
      <w:pPr>
        <w:pStyle w:val="Textodecomentrio"/>
        <w:rPr>
          <w:rFonts w:hint="eastAsia"/>
        </w:rPr>
      </w:pPr>
      <w:r>
        <w:rPr>
          <w:rStyle w:val="Refdecomentrio"/>
        </w:rPr>
        <w:annotationRef/>
      </w:r>
      <w:r>
        <w:rPr>
          <w:b/>
          <w:bCs/>
          <w:i/>
          <w:iCs/>
          <w:color w:val="000000"/>
        </w:rPr>
        <w:t>Nota Explicativa :</w:t>
      </w:r>
      <w:r>
        <w:rPr>
          <w:i/>
          <w:iCs/>
          <w:color w:val="000000"/>
        </w:rPr>
        <w:t xml:space="preserve"> A </w:t>
      </w:r>
      <w:hyperlink r:id="rId28"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extinção do contrato. Lembre-se que esse modelo é apenas uma sugestão; é possível escalonar as multas conforme os dias de atraso, por exemplo.</w:t>
      </w:r>
    </w:p>
  </w:comment>
  <w:comment w:id="31" w:author="Autor" w:initials="A">
    <w:p w14:paraId="3356B539" w14:textId="77777777" w:rsidR="00494882" w:rsidRDefault="00494882" w:rsidP="00DD7A04">
      <w:pPr>
        <w:pStyle w:val="Textodecomentrio"/>
        <w:rPr>
          <w:rFonts w:hint="eastAsia"/>
        </w:rPr>
      </w:pPr>
      <w:r>
        <w:rPr>
          <w:rStyle w:val="Refdecomentrio"/>
        </w:rPr>
        <w:annotationRef/>
      </w:r>
      <w:r>
        <w:rPr>
          <w:b/>
          <w:bCs/>
          <w:i/>
          <w:iCs/>
          <w:color w:val="000000"/>
        </w:rPr>
        <w:t>Nota Explicativa :</w:t>
      </w:r>
      <w:r>
        <w:rPr>
          <w:i/>
          <w:iCs/>
          <w:color w:val="000000"/>
        </w:rPr>
        <w:t xml:space="preserve"> A </w:t>
      </w:r>
      <w:hyperlink r:id="rId29"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34" w:author="Autor" w:initials="A">
    <w:p w14:paraId="4E36141E" w14:textId="77777777" w:rsidR="00494882" w:rsidRDefault="00494882" w:rsidP="00DD7A04">
      <w:pPr>
        <w:pStyle w:val="Textodecomentrio"/>
        <w:rPr>
          <w:rFonts w:hint="eastAsia"/>
        </w:rPr>
      </w:pPr>
      <w:r>
        <w:rPr>
          <w:rStyle w:val="Refdecomentrio"/>
        </w:rPr>
        <w:annotationRef/>
      </w:r>
      <w:r>
        <w:rPr>
          <w:b/>
          <w:bCs/>
          <w:i/>
          <w:iCs/>
          <w:color w:val="000000"/>
        </w:rPr>
        <w:t xml:space="preserve">Nota Explicativa: </w:t>
      </w:r>
      <w:r>
        <w:rPr>
          <w:i/>
          <w:iCs/>
          <w:color w:val="000000"/>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35" w:author="Autor" w:initials="A">
    <w:p w14:paraId="4FF8FA0E" w14:textId="77777777" w:rsidR="00A90448" w:rsidRDefault="00494882" w:rsidP="001C2131">
      <w:pPr>
        <w:pStyle w:val="Textodecomentrio"/>
        <w:rPr>
          <w:rFonts w:hint="eastAsia"/>
        </w:rPr>
      </w:pPr>
      <w:r>
        <w:rPr>
          <w:rStyle w:val="Refdecomentrio"/>
        </w:rPr>
        <w:annotationRef/>
      </w:r>
      <w:r w:rsidR="00A90448">
        <w:rPr>
          <w:b/>
          <w:bCs/>
          <w:i/>
          <w:iCs/>
          <w:color w:val="000000"/>
        </w:rPr>
        <w:t>Nota Explicativa:</w:t>
      </w:r>
      <w:r w:rsidR="00A90448">
        <w:rPr>
          <w:i/>
          <w:iCs/>
          <w:color w:val="000000"/>
        </w:rPr>
        <w:t xml:space="preserve"> Use a redação dos itens 13.4 a 13.7 para os contratos de serviços contínuos e de aluguel de equipamentos e à utilização de programas de informática (</w:t>
      </w:r>
      <w:hyperlink r:id="rId30" w:anchor="art106" w:history="1">
        <w:r w:rsidR="00A90448" w:rsidRPr="001C2131">
          <w:rPr>
            <w:rStyle w:val="Hyperlink"/>
            <w:i/>
            <w:iCs/>
          </w:rPr>
          <w:t>art. 106. NLLC</w:t>
        </w:r>
      </w:hyperlink>
      <w:r w:rsidR="00A90448">
        <w:rPr>
          <w:i/>
          <w:iCs/>
          <w:color w:val="000000"/>
        </w:rPr>
        <w:t>)</w:t>
      </w:r>
    </w:p>
  </w:comment>
  <w:comment w:id="36" w:author="Autor" w:initials="A">
    <w:p w14:paraId="13C049AC" w14:textId="229D0102" w:rsidR="00494882" w:rsidRDefault="00494882">
      <w:pPr>
        <w:pStyle w:val="Textodecomentrio"/>
        <w:rPr>
          <w:rFonts w:hint="eastAsia"/>
        </w:rPr>
      </w:pPr>
      <w:r>
        <w:rPr>
          <w:rStyle w:val="Refdecomentrio"/>
        </w:rPr>
        <w:annotationRef/>
      </w:r>
      <w:r>
        <w:rPr>
          <w:b/>
          <w:bCs/>
          <w:i/>
          <w:iCs/>
          <w:color w:val="000000"/>
        </w:rPr>
        <w:t xml:space="preserve">Nota Explicativa: </w:t>
      </w:r>
      <w:r>
        <w:rPr>
          <w:i/>
          <w:iCs/>
          <w:color w:val="000000"/>
        </w:rPr>
        <w:t xml:space="preserve">A sistemática do item 13.7 decorre do que dispõe o </w:t>
      </w:r>
      <w:hyperlink r:id="rId31" w:anchor="art106§1" w:history="1">
        <w:r w:rsidRPr="00042F20">
          <w:rPr>
            <w:rStyle w:val="Hyperlink"/>
            <w:i/>
            <w:iCs/>
          </w:rPr>
          <w:t>art. 106, III e §1º, da Lei nº 14.133/21</w:t>
        </w:r>
      </w:hyperlink>
      <w:r>
        <w:rPr>
          <w:i/>
          <w:iCs/>
          <w:color w:val="000000"/>
        </w:rPr>
        <w:t xml:space="preserve">. Para a sua compreensão, vale trazer um exemplo: </w:t>
      </w:r>
    </w:p>
    <w:p w14:paraId="52D706D4" w14:textId="77777777" w:rsidR="00494882" w:rsidRDefault="00494882">
      <w:pPr>
        <w:pStyle w:val="Textodecomentrio"/>
        <w:rPr>
          <w:rFonts w:hint="eastAsia"/>
        </w:rPr>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1E2DC776" w14:textId="77777777" w:rsidR="00494882" w:rsidRDefault="00494882">
      <w:pPr>
        <w:pStyle w:val="Textodecomentrio"/>
        <w:rPr>
          <w:rFonts w:hint="eastAsia"/>
        </w:rPr>
      </w:pPr>
      <w:r>
        <w:rPr>
          <w:i/>
          <w:iCs/>
          <w:color w:val="000000"/>
        </w:rPr>
        <w:t xml:space="preserve">1) Se a comunicação ao contratado noticiando a rescisão ocorrer até 20 de março (dois meses antes da data de aniversário), a extinção poderá ocorrer na data de aniversário, ou seja, 20 de maio. </w:t>
      </w:r>
    </w:p>
    <w:p w14:paraId="5D49C88A" w14:textId="77777777" w:rsidR="00494882" w:rsidRDefault="00494882">
      <w:pPr>
        <w:pStyle w:val="Textodecomentrio"/>
        <w:rPr>
          <w:rFonts w:hint="eastAsia"/>
        </w:rPr>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271136FC" w14:textId="77777777" w:rsidR="00494882" w:rsidRDefault="00494882" w:rsidP="0023230F">
      <w:pPr>
        <w:pStyle w:val="Textodecomentrio"/>
        <w:rPr>
          <w:rFonts w:hint="eastAsia"/>
        </w:rPr>
      </w:pPr>
      <w:r>
        <w:rPr>
          <w:i/>
          <w:iCs/>
          <w:color w:val="000000"/>
        </w:rPr>
        <w:t>3) Por fim, uma comunicação de extinção havida após a data de aniversário só teria efeito no aniversário subsequente, salvo se houver enquadramento na situação “2”.</w:t>
      </w:r>
    </w:p>
  </w:comment>
  <w:comment w:id="37" w:author="Autor" w:initials="A">
    <w:p w14:paraId="7DF687C7" w14:textId="77777777" w:rsidR="00494882" w:rsidRDefault="00494882" w:rsidP="0023230F">
      <w:pPr>
        <w:pStyle w:val="Textodecomentrio"/>
        <w:rPr>
          <w:rFonts w:hint="eastAsia"/>
        </w:rPr>
      </w:pPr>
      <w:r>
        <w:rPr>
          <w:rStyle w:val="Refdecomentrio"/>
        </w:rPr>
        <w:annotationRef/>
      </w:r>
      <w:r>
        <w:rPr>
          <w:b/>
          <w:bCs/>
          <w:i/>
          <w:iCs/>
          <w:color w:val="000000"/>
        </w:rPr>
        <w:t>Nota Explicativa:</w:t>
      </w:r>
      <w:r>
        <w:rPr>
          <w:i/>
          <w:iCs/>
          <w:color w:val="000000"/>
        </w:rPr>
        <w:t xml:space="preserve"> O </w:t>
      </w:r>
      <w:hyperlink r:id="rId32" w:anchor="art106" w:history="1">
        <w:r w:rsidRPr="00366271">
          <w:rPr>
            <w:rStyle w:val="Hyperlink"/>
            <w:i/>
            <w:iCs/>
          </w:rPr>
          <w:t>art. 106, II, da Lei nº 14.133/21</w:t>
        </w:r>
      </w:hyperlink>
      <w:r>
        <w:rPr>
          <w:i/>
          <w:iCs/>
          <w:color w:val="000000"/>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38" w:author="Autor" w:initials="A">
    <w:p w14:paraId="7F4CD06D" w14:textId="01485F7E" w:rsidR="00494882" w:rsidRDefault="00494882">
      <w:pPr>
        <w:pStyle w:val="Textodecomentrio"/>
        <w:rPr>
          <w:rFonts w:hint="eastAsia"/>
        </w:rPr>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33"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494882" w:rsidRDefault="00494882" w:rsidP="00DD7A04">
      <w:pPr>
        <w:pStyle w:val="Textodecomentrio"/>
        <w:rPr>
          <w:rFonts w:hint="eastAsia"/>
        </w:rPr>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34"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9" w:author="Autor" w:initials="A">
    <w:p w14:paraId="0FB98FC7" w14:textId="77777777" w:rsidR="00494882" w:rsidRDefault="00494882">
      <w:pPr>
        <w:pStyle w:val="Textodecomentrio"/>
        <w:rPr>
          <w:rFonts w:hint="eastAsia"/>
        </w:rPr>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35"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494882" w:rsidRDefault="00494882" w:rsidP="00DD7A04">
      <w:pPr>
        <w:pStyle w:val="Textodecomentrio"/>
        <w:rPr>
          <w:rFonts w:hint="eastAsia"/>
        </w:rPr>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C923520" w15:done="1"/>
  <w15:commentEx w15:paraId="7F4EE46D" w15:done="1"/>
  <w15:commentEx w15:paraId="210AE90C" w15:done="1"/>
  <w15:commentEx w15:paraId="0BE8BEFC" w15:done="1"/>
  <w15:commentEx w15:paraId="2579330A" w15:done="1"/>
  <w15:commentEx w15:paraId="0692E270" w15:done="1"/>
  <w15:commentEx w15:paraId="39C365A2" w15:done="1"/>
  <w15:commentEx w15:paraId="3A92FA21" w15:done="1"/>
  <w15:commentEx w15:paraId="5BE58C3B" w15:done="1"/>
  <w15:commentEx w15:paraId="079BE262" w15:done="1"/>
  <w15:commentEx w15:paraId="094FDE1C" w15:done="1"/>
  <w15:commentEx w15:paraId="45CB4C99" w15:done="1"/>
  <w15:commentEx w15:paraId="53AEC34B" w15:done="1"/>
  <w15:commentEx w15:paraId="1D249DED" w15:done="1"/>
  <w15:commentEx w15:paraId="245AE225" w15:done="1"/>
  <w15:commentEx w15:paraId="52430E64" w15:done="1"/>
  <w15:commentEx w15:paraId="7AC98292" w15:done="1"/>
  <w15:commentEx w15:paraId="6AC98D99" w15:done="1"/>
  <w15:commentEx w15:paraId="55752350" w15:done="1"/>
  <w15:commentEx w15:paraId="4AD608DE" w15:done="1"/>
  <w15:commentEx w15:paraId="71946BAF" w15:done="1"/>
  <w15:commentEx w15:paraId="3F4554A4" w15:done="0"/>
  <w15:commentEx w15:paraId="0F26CE22" w15:done="1"/>
  <w15:commentEx w15:paraId="3356B539" w15:done="1"/>
  <w15:commentEx w15:paraId="4E36141E" w15:done="1"/>
  <w15:commentEx w15:paraId="4FF8FA0E" w15:done="1"/>
  <w15:commentEx w15:paraId="271136FC" w15:done="1"/>
  <w15:commentEx w15:paraId="7DF687C7" w15:done="1"/>
  <w15:commentEx w15:paraId="7232BE43" w15:done="1"/>
  <w15:commentEx w15:paraId="1ECBE87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923520" w16cid:durableId="274D6592"/>
  <w16cid:commentId w16cid:paraId="7F4EE46D" w16cid:durableId="5C0B896E"/>
  <w16cid:commentId w16cid:paraId="210AE90C" w16cid:durableId="274C210D"/>
  <w16cid:commentId w16cid:paraId="0BE8BEFC" w16cid:durableId="27CEE05D"/>
  <w16cid:commentId w16cid:paraId="2579330A" w16cid:durableId="27E92540"/>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4F0DF" w14:textId="77777777" w:rsidR="00461FDD" w:rsidRDefault="00461FDD">
      <w:pPr>
        <w:rPr>
          <w:rFonts w:hint="eastAsia"/>
        </w:rPr>
      </w:pPr>
      <w:r>
        <w:separator/>
      </w:r>
    </w:p>
  </w:endnote>
  <w:endnote w:type="continuationSeparator" w:id="0">
    <w:p w14:paraId="122BF6DB" w14:textId="77777777" w:rsidR="00461FDD" w:rsidRDefault="00461FDD">
      <w:pPr>
        <w:rPr>
          <w:rFonts w:hint="eastAsia"/>
        </w:rPr>
      </w:pPr>
      <w:r>
        <w:continuationSeparator/>
      </w:r>
    </w:p>
  </w:endnote>
  <w:endnote w:type="continuationNotice" w:id="1">
    <w:p w14:paraId="00E79164" w14:textId="77777777" w:rsidR="00461FDD" w:rsidRDefault="00461FD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auto"/>
    <w:pitch w:val="variable"/>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16111550"/>
      <w:docPartObj>
        <w:docPartGallery w:val="Page Numbers (Bottom of Page)"/>
        <w:docPartUnique/>
      </w:docPartObj>
    </w:sdt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3D086" w14:textId="77777777" w:rsidR="00461FDD" w:rsidRDefault="00461FDD">
      <w:pPr>
        <w:rPr>
          <w:rFonts w:hint="eastAsia"/>
        </w:rPr>
      </w:pPr>
      <w:r>
        <w:separator/>
      </w:r>
    </w:p>
  </w:footnote>
  <w:footnote w:type="continuationSeparator" w:id="0">
    <w:p w14:paraId="319A8F4D" w14:textId="77777777" w:rsidR="00461FDD" w:rsidRDefault="00461FDD">
      <w:pPr>
        <w:rPr>
          <w:rFonts w:hint="eastAsia"/>
        </w:rPr>
      </w:pPr>
      <w:r>
        <w:continuationSeparator/>
      </w:r>
    </w:p>
  </w:footnote>
  <w:footnote w:type="continuationNotice" w:id="1">
    <w:p w14:paraId="4F0F0D99" w14:textId="77777777" w:rsidR="00461FDD" w:rsidRDefault="00461FDD">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rPr>
              <w:rFonts w:hint="eastAsia"/>
            </w:rPr>
          </w:pPr>
        </w:p>
      </w:tc>
      <w:tc>
        <w:tcPr>
          <w:tcW w:w="3020" w:type="dxa"/>
        </w:tcPr>
        <w:p w14:paraId="11FA3919" w14:textId="3419F088" w:rsidR="00494882" w:rsidRDefault="00494882" w:rsidP="6CDEAB8A">
          <w:pPr>
            <w:pStyle w:val="Cabealho"/>
            <w:jc w:val="center"/>
            <w:rPr>
              <w:rFonts w:hint="eastAsia"/>
            </w:rPr>
          </w:pPr>
        </w:p>
      </w:tc>
      <w:tc>
        <w:tcPr>
          <w:tcW w:w="3020" w:type="dxa"/>
        </w:tcPr>
        <w:p w14:paraId="56AE8220" w14:textId="1452A360" w:rsidR="00494882" w:rsidRDefault="00494882" w:rsidP="6CDEAB8A">
          <w:pPr>
            <w:pStyle w:val="Cabealho"/>
            <w:ind w:right="-115"/>
            <w:jc w:val="right"/>
            <w:rPr>
              <w:rFonts w:hint="eastAsia"/>
            </w:rPr>
          </w:pPr>
        </w:p>
      </w:tc>
    </w:tr>
  </w:tbl>
  <w:p w14:paraId="78B4EF61" w14:textId="5256FFED" w:rsidR="00494882" w:rsidRDefault="00494882"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199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F744B3C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3"/>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4"/>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0FA"/>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BDF"/>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8CA"/>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3E6B"/>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1FDD"/>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5F7E"/>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E2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E7D69"/>
    <w:rsid w:val="005F0676"/>
    <w:rsid w:val="005F1D63"/>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3737"/>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1F2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729"/>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1D8"/>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8BC"/>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72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1B2"/>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1C4"/>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D1"/>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038"/>
    <w:rsid w:val="00C941A8"/>
    <w:rsid w:val="00C95C72"/>
    <w:rsid w:val="00C95FE9"/>
    <w:rsid w:val="00C962B5"/>
    <w:rsid w:val="00C967DF"/>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8C0"/>
    <w:rsid w:val="00D01910"/>
    <w:rsid w:val="00D01ED2"/>
    <w:rsid w:val="00D024E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0F55"/>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4FEE"/>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1F98"/>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hyperlink" Target="https://www.planalto.gov.br/ccivil_03/leis/l8666cons.htm" TargetMode="External"/><Relationship Id="rId21" Type="http://schemas.openxmlformats.org/officeDocument/2006/relationships/hyperlink" Target="https://www.planalto.gov.br/ccivil_03/constituicao/constituicao.htm" TargetMode="External"/><Relationship Id="rId34" Type="http://schemas.openxmlformats.org/officeDocument/2006/relationships/hyperlink" Target="https://www.planalto.gov.br/ccivil_03/leis/l8078compilado.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in.gov.br/en/web/dou/-/portaria-me-n-1.144-de-3-de-fevereiro-de-2021-302550048" TargetMode="External"/><Relationship Id="rId25" Type="http://schemas.openxmlformats.org/officeDocument/2006/relationships/hyperlink" Target="https://www.planalto.gov.br/ccivil_03/decreto-lei/Del1737.htm" TargetMode="External"/><Relationship Id="rId33" Type="http://schemas.openxmlformats.org/officeDocument/2006/relationships/hyperlink" Target="https://www.planalto.gov.br/ccivil_03/leis/l8078compilado.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leis/lcp/lcp11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in.gov.br/en/web/dou/-/circular-susep-n-662-de-11-de-abril-de-2022-392772088" TargetMode="External"/><Relationship Id="rId32"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in.gov.br/en/web/dou/-/decreto-n-11.246-de-27-de-outubro-de-2022-440217660"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5/lei/l13105.htm" TargetMode="External"/></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planalto.gov.br/ccivil_03/leis/l8078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2002/l10406compilada.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in.gov.br/en/web/dou/-/circular-susep-n-662-de-11-de-abril-de-2022-39277208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5708</Words>
  <Characters>30825</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2024-08-26T14:19:00Z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